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2" w:type="dxa"/>
        <w:tblInd w:w="-567" w:type="dxa"/>
        <w:tblCellMar>
          <w:left w:w="70" w:type="dxa"/>
          <w:right w:w="70" w:type="dxa"/>
        </w:tblCellMar>
        <w:tblLook w:val="04A0" w:firstRow="1" w:lastRow="0" w:firstColumn="1" w:lastColumn="0" w:noHBand="0" w:noVBand="1"/>
      </w:tblPr>
      <w:tblGrid>
        <w:gridCol w:w="11022"/>
        <w:gridCol w:w="160"/>
      </w:tblGrid>
      <w:tr w:rsidR="0049694A" w:rsidRPr="0049694A" w14:paraId="6B798B4D" w14:textId="77777777" w:rsidTr="0049694A">
        <w:tc>
          <w:tcPr>
            <w:tcW w:w="11022" w:type="dxa"/>
            <w:hideMark/>
          </w:tcPr>
          <w:tbl>
            <w:tblPr>
              <w:tblW w:w="10866" w:type="dxa"/>
              <w:tblCellMar>
                <w:left w:w="120" w:type="dxa"/>
                <w:right w:w="120" w:type="dxa"/>
              </w:tblCellMar>
              <w:tblLook w:val="04A0" w:firstRow="1" w:lastRow="0" w:firstColumn="1" w:lastColumn="0" w:noHBand="0" w:noVBand="1"/>
            </w:tblPr>
            <w:tblGrid>
              <w:gridCol w:w="5433"/>
              <w:gridCol w:w="5433"/>
            </w:tblGrid>
            <w:tr w:rsidR="0049694A" w:rsidRPr="0049694A" w14:paraId="309B2D5B" w14:textId="77777777">
              <w:tc>
                <w:tcPr>
                  <w:tcW w:w="5103" w:type="dxa"/>
                  <w:tcBorders>
                    <w:top w:val="single" w:sz="6" w:space="0" w:color="FFFFFF"/>
                    <w:left w:val="single" w:sz="6" w:space="0" w:color="FFFFFF"/>
                    <w:bottom w:val="single" w:sz="6" w:space="0" w:color="FFFFFF"/>
                    <w:right w:val="single" w:sz="6" w:space="0" w:color="FFFFFF"/>
                  </w:tcBorders>
                </w:tcPr>
                <w:p w14:paraId="1326B937" w14:textId="77777777" w:rsidR="0049694A" w:rsidRPr="0049694A" w:rsidRDefault="0049694A" w:rsidP="0049694A">
                  <w:pPr>
                    <w:spacing w:after="0" w:line="120" w:lineRule="exact"/>
                    <w:ind w:left="187" w:right="-102" w:firstLine="851"/>
                    <w:rPr>
                      <w:rFonts w:ascii="Times New Roman" w:eastAsia="Times New Roman" w:hAnsi="Times New Roman" w:cs="Times New Roman"/>
                      <w:b/>
                      <w:color w:val="000000" w:themeColor="text1"/>
                      <w:sz w:val="24"/>
                      <w:szCs w:val="24"/>
                      <w:u w:val="single"/>
                      <w:lang w:eastAsia="fr-FR"/>
                    </w:rPr>
                  </w:pPr>
                </w:p>
                <w:p w14:paraId="4F9C2FAC" w14:textId="77777777" w:rsidR="0049694A" w:rsidRPr="0049694A" w:rsidRDefault="0049694A" w:rsidP="0049694A">
                  <w:pPr>
                    <w:spacing w:after="0" w:line="240" w:lineRule="auto"/>
                    <w:ind w:right="-104"/>
                    <w:jc w:val="center"/>
                    <w:rPr>
                      <w:rFonts w:ascii="Times New Roman" w:eastAsia="Times New Roman" w:hAnsi="Times New Roman" w:cs="Times New Roman"/>
                      <w:b/>
                      <w:bCs/>
                      <w:color w:val="000000" w:themeColor="text1"/>
                      <w:sz w:val="24"/>
                      <w:szCs w:val="24"/>
                      <w:lang w:eastAsia="fr-FR"/>
                    </w:rPr>
                  </w:pPr>
                  <w:r w:rsidRPr="0049694A">
                    <w:rPr>
                      <w:rFonts w:ascii="Times New Roman" w:eastAsia="Times New Roman" w:hAnsi="Times New Roman" w:cs="Times New Roman"/>
                      <w:b/>
                      <w:bCs/>
                      <w:color w:val="000000" w:themeColor="text1"/>
                      <w:sz w:val="24"/>
                      <w:szCs w:val="24"/>
                      <w:lang w:eastAsia="fr-FR"/>
                    </w:rPr>
                    <w:t>TRIBUNAL ADMINISTRATIF</w:t>
                  </w:r>
                </w:p>
                <w:p w14:paraId="35DDB845" w14:textId="77777777" w:rsidR="0049694A" w:rsidRPr="0049694A" w:rsidRDefault="0049694A" w:rsidP="0049694A">
                  <w:pPr>
                    <w:spacing w:after="0" w:line="240" w:lineRule="auto"/>
                    <w:ind w:right="-104"/>
                    <w:jc w:val="center"/>
                    <w:rPr>
                      <w:rFonts w:ascii="Times New Roman" w:eastAsia="Times New Roman" w:hAnsi="Times New Roman" w:cs="Times New Roman"/>
                      <w:b/>
                      <w:bCs/>
                      <w:color w:val="000000" w:themeColor="text1"/>
                      <w:sz w:val="24"/>
                      <w:szCs w:val="24"/>
                      <w:lang w:eastAsia="fr-FR"/>
                    </w:rPr>
                  </w:pPr>
                  <w:r w:rsidRPr="0049694A">
                    <w:rPr>
                      <w:rFonts w:ascii="Calibri" w:eastAsia="Calibri" w:hAnsi="Calibri" w:cs="Times New Roman"/>
                    </w:rPr>
                    <w:fldChar w:fldCharType="begin"/>
                  </w:r>
                  <w:r w:rsidRPr="0049694A">
                    <w:rPr>
                      <w:rFonts w:ascii="Calibri" w:eastAsia="Calibri" w:hAnsi="Calibri" w:cs="Times New Roman"/>
                    </w:rPr>
                    <w:instrText xml:space="preserve"> DOCVARIABLE TA__AR_T_JUR_VILLE \* MERGEFORMAT </w:instrText>
                  </w:r>
                  <w:r w:rsidRPr="0049694A">
                    <w:rPr>
                      <w:rFonts w:ascii="Calibri" w:eastAsia="Calibri" w:hAnsi="Calibri" w:cs="Times New Roman"/>
                    </w:rPr>
                    <w:fldChar w:fldCharType="separate"/>
                  </w:r>
                  <w:r w:rsidRPr="0049694A">
                    <w:rPr>
                      <w:rFonts w:ascii="Times New Roman" w:eastAsia="Times New Roman" w:hAnsi="Times New Roman" w:cs="Times New Roman"/>
                      <w:b/>
                      <w:bCs/>
                      <w:color w:val="000000" w:themeColor="text1"/>
                      <w:sz w:val="24"/>
                      <w:szCs w:val="24"/>
                      <w:lang w:eastAsia="fr-FR"/>
                    </w:rPr>
                    <w:t>DE NICE</w:t>
                  </w:r>
                  <w:r w:rsidRPr="0049694A">
                    <w:rPr>
                      <w:rFonts w:ascii="Times New Roman" w:eastAsia="Times New Roman" w:hAnsi="Times New Roman" w:cs="Times New Roman"/>
                      <w:b/>
                      <w:bCs/>
                      <w:color w:val="000000" w:themeColor="text1"/>
                      <w:sz w:val="24"/>
                      <w:szCs w:val="24"/>
                      <w:lang w:eastAsia="fr-FR"/>
                    </w:rPr>
                    <w:fldChar w:fldCharType="end"/>
                  </w:r>
                </w:p>
                <w:p w14:paraId="15F3004B" w14:textId="77777777" w:rsidR="0049694A" w:rsidRPr="0049694A" w:rsidRDefault="0049694A" w:rsidP="0049694A">
                  <w:pPr>
                    <w:spacing w:after="0" w:line="240" w:lineRule="auto"/>
                    <w:ind w:left="306" w:right="-104" w:firstLine="851"/>
                    <w:jc w:val="center"/>
                    <w:rPr>
                      <w:rFonts w:ascii="Times New Roman" w:eastAsia="Times New Roman" w:hAnsi="Times New Roman" w:cs="Times New Roman"/>
                      <w:b/>
                      <w:bCs/>
                      <w:color w:val="000000" w:themeColor="text1"/>
                      <w:sz w:val="24"/>
                      <w:szCs w:val="24"/>
                      <w:lang w:eastAsia="fr-FR"/>
                    </w:rPr>
                  </w:pPr>
                </w:p>
                <w:p w14:paraId="265EECD4" w14:textId="77777777" w:rsidR="0049694A" w:rsidRPr="0049694A" w:rsidRDefault="0049694A" w:rsidP="0049694A">
                  <w:pPr>
                    <w:spacing w:after="0" w:line="240" w:lineRule="auto"/>
                    <w:ind w:left="306" w:right="-104" w:firstLine="851"/>
                    <w:rPr>
                      <w:rFonts w:ascii="Times New Roman" w:eastAsia="Times New Roman" w:hAnsi="Times New Roman" w:cs="Times New Roman"/>
                      <w:b/>
                      <w:bCs/>
                      <w:color w:val="000000" w:themeColor="text1"/>
                      <w:sz w:val="24"/>
                      <w:szCs w:val="24"/>
                      <w:lang w:eastAsia="fr-FR"/>
                    </w:rPr>
                  </w:pPr>
                </w:p>
                <w:p w14:paraId="22B0419B" w14:textId="77777777" w:rsidR="0049694A" w:rsidRPr="0049694A" w:rsidRDefault="0049694A" w:rsidP="0049694A">
                  <w:pPr>
                    <w:spacing w:after="0" w:line="240" w:lineRule="auto"/>
                    <w:ind w:right="-104"/>
                    <w:rPr>
                      <w:rFonts w:ascii="Times New Roman" w:eastAsia="Times New Roman" w:hAnsi="Times New Roman" w:cs="Times New Roman"/>
                      <w:b/>
                      <w:color w:val="000000" w:themeColor="text1"/>
                      <w:sz w:val="24"/>
                      <w:szCs w:val="24"/>
                      <w:lang w:eastAsia="fr-FR"/>
                    </w:rPr>
                  </w:pPr>
                  <w:r w:rsidRPr="0049694A">
                    <w:rPr>
                      <w:rFonts w:ascii="Times New Roman" w:eastAsia="Times New Roman" w:hAnsi="Times New Roman" w:cs="Times New Roman"/>
                      <w:b/>
                      <w:bCs/>
                      <w:color w:val="000000" w:themeColor="text1"/>
                      <w:sz w:val="24"/>
                      <w:szCs w:val="24"/>
                      <w:lang w:eastAsia="fr-FR"/>
                    </w:rPr>
                    <w:t>N</w:t>
                  </w:r>
                  <w:r w:rsidRPr="0049694A">
                    <w:rPr>
                      <w:rFonts w:ascii="Times New Roman" w:eastAsia="Times New Roman" w:hAnsi="Times New Roman" w:cs="Times New Roman"/>
                      <w:b/>
                      <w:bCs/>
                      <w:color w:val="000000" w:themeColor="text1"/>
                      <w:sz w:val="24"/>
                      <w:szCs w:val="24"/>
                      <w:vertAlign w:val="superscript"/>
                      <w:lang w:eastAsia="fr-FR"/>
                    </w:rPr>
                    <w:t xml:space="preserve">° </w:t>
                  </w:r>
                  <w:r>
                    <w:rPr>
                      <w:rFonts w:ascii="Times New Roman" w:eastAsia="Times New Roman" w:hAnsi="Times New Roman" w:cs="Times New Roman"/>
                      <w:b/>
                      <w:bCs/>
                      <w:color w:val="000000" w:themeColor="text1"/>
                      <w:sz w:val="24"/>
                      <w:szCs w:val="24"/>
                      <w:lang w:eastAsia="fr-FR"/>
                    </w:rPr>
                    <w:t>2402302</w:t>
                  </w:r>
                </w:p>
                <w:p w14:paraId="5ED1A0D0" w14:textId="77777777" w:rsidR="0049694A" w:rsidRPr="0049694A" w:rsidRDefault="0049694A" w:rsidP="0049694A">
                  <w:pPr>
                    <w:spacing w:after="0" w:line="240" w:lineRule="auto"/>
                    <w:ind w:right="-104"/>
                    <w:rPr>
                      <w:rFonts w:ascii="Times New Roman" w:eastAsia="Times New Roman" w:hAnsi="Times New Roman" w:cs="Times New Roman"/>
                      <w:color w:val="000000" w:themeColor="text1"/>
                      <w:sz w:val="24"/>
                      <w:szCs w:val="24"/>
                      <w:lang w:eastAsia="fr-FR"/>
                    </w:rPr>
                  </w:pPr>
                  <w:r w:rsidRPr="0049694A">
                    <w:rPr>
                      <w:rFonts w:ascii="Times New Roman" w:eastAsia="Times New Roman" w:hAnsi="Times New Roman" w:cs="Times New Roman"/>
                      <w:color w:val="000000" w:themeColor="text1"/>
                      <w:sz w:val="24"/>
                      <w:szCs w:val="24"/>
                      <w:lang w:eastAsia="fr-FR"/>
                    </w:rPr>
                    <w:t>___________</w:t>
                  </w:r>
                </w:p>
                <w:p w14:paraId="2B132CAC" w14:textId="77777777" w:rsidR="0049694A" w:rsidRPr="0049694A" w:rsidRDefault="0049694A" w:rsidP="0049694A">
                  <w:pPr>
                    <w:spacing w:after="0" w:line="240" w:lineRule="auto"/>
                    <w:ind w:right="-104"/>
                    <w:rPr>
                      <w:rFonts w:ascii="Times New Roman" w:eastAsia="Times New Roman" w:hAnsi="Times New Roman" w:cs="Times New Roman"/>
                      <w:color w:val="000000" w:themeColor="text1"/>
                      <w:sz w:val="24"/>
                      <w:szCs w:val="24"/>
                      <w:lang w:eastAsia="fr-FR"/>
                    </w:rPr>
                  </w:pPr>
                </w:p>
                <w:p w14:paraId="19A5858C" w14:textId="1EFD29BE" w:rsidR="0049694A" w:rsidRPr="0049694A" w:rsidRDefault="0049694A" w:rsidP="0049694A">
                  <w:pPr>
                    <w:spacing w:after="0" w:line="240" w:lineRule="auto"/>
                    <w:ind w:right="-104"/>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LIGUE POUR LA PROTECTION DES</w:t>
                  </w:r>
                  <w:r>
                    <w:rPr>
                      <w:rFonts w:ascii="Times New Roman" w:eastAsia="Times New Roman" w:hAnsi="Times New Roman" w:cs="Times New Roman"/>
                      <w:color w:val="000000" w:themeColor="text1"/>
                      <w:sz w:val="24"/>
                      <w:szCs w:val="24"/>
                      <w:lang w:eastAsia="fr-FR"/>
                    </w:rPr>
                    <w:br/>
                    <w:t>OISEAUX PACA</w:t>
                  </w:r>
                  <w:r w:rsidRPr="0049694A">
                    <w:rPr>
                      <w:rFonts w:ascii="Times New Roman" w:eastAsia="Times New Roman" w:hAnsi="Times New Roman" w:cs="Times New Roman"/>
                      <w:color w:val="000000" w:themeColor="text1"/>
                      <w:sz w:val="24"/>
                      <w:szCs w:val="24"/>
                      <w:lang w:eastAsia="fr-FR"/>
                    </w:rPr>
                    <w:br/>
                    <w:t>___________</w:t>
                  </w:r>
                </w:p>
                <w:p w14:paraId="7E011523" w14:textId="77777777" w:rsidR="0049694A" w:rsidRPr="0049694A" w:rsidRDefault="0049694A" w:rsidP="0049694A">
                  <w:pPr>
                    <w:spacing w:after="0" w:line="240" w:lineRule="auto"/>
                    <w:ind w:left="306" w:right="-104" w:firstLine="851"/>
                    <w:rPr>
                      <w:rFonts w:ascii="Times New Roman" w:eastAsia="Times New Roman" w:hAnsi="Times New Roman" w:cs="Times New Roman"/>
                      <w:color w:val="000000" w:themeColor="text1"/>
                      <w:sz w:val="24"/>
                      <w:szCs w:val="24"/>
                      <w:lang w:eastAsia="fr-FR"/>
                    </w:rPr>
                  </w:pPr>
                </w:p>
                <w:p w14:paraId="0A94D249" w14:textId="77777777" w:rsidR="0049694A" w:rsidRPr="0049694A" w:rsidRDefault="0049694A" w:rsidP="0049694A">
                  <w:pPr>
                    <w:spacing w:after="0" w:line="240" w:lineRule="auto"/>
                    <w:ind w:right="-104"/>
                    <w:rPr>
                      <w:rFonts w:ascii="Times New Roman" w:eastAsia="Times New Roman" w:hAnsi="Times New Roman" w:cs="Times New Roman"/>
                      <w:color w:val="000000" w:themeColor="text1"/>
                      <w:sz w:val="24"/>
                      <w:szCs w:val="24"/>
                      <w:lang w:eastAsia="fr-FR"/>
                    </w:rPr>
                  </w:pPr>
                  <w:r w:rsidRPr="0049694A">
                    <w:rPr>
                      <w:rFonts w:ascii="Times New Roman" w:eastAsia="Times New Roman" w:hAnsi="Times New Roman" w:cs="Times New Roman"/>
                      <w:color w:val="000000" w:themeColor="text1"/>
                      <w:sz w:val="24"/>
                      <w:szCs w:val="24"/>
                      <w:lang w:eastAsia="fr-FR"/>
                    </w:rPr>
                    <w:t xml:space="preserve">M. Frédéric </w:t>
                  </w:r>
                  <w:proofErr w:type="spellStart"/>
                  <w:r w:rsidRPr="0049694A">
                    <w:rPr>
                      <w:rFonts w:ascii="Times New Roman" w:eastAsia="Times New Roman" w:hAnsi="Times New Roman" w:cs="Times New Roman"/>
                      <w:color w:val="000000" w:themeColor="text1"/>
                      <w:sz w:val="24"/>
                      <w:szCs w:val="24"/>
                      <w:lang w:eastAsia="fr-FR"/>
                    </w:rPr>
                    <w:t>Silvestre-Toussaint-Fortesa</w:t>
                  </w:r>
                  <w:proofErr w:type="spellEnd"/>
                </w:p>
                <w:p w14:paraId="0A53E3A9" w14:textId="77777777" w:rsidR="0049694A" w:rsidRPr="0049694A" w:rsidRDefault="0049694A" w:rsidP="0049694A">
                  <w:pPr>
                    <w:spacing w:after="0" w:line="240" w:lineRule="auto"/>
                    <w:ind w:right="-104"/>
                    <w:rPr>
                      <w:rFonts w:ascii="Times New Roman" w:eastAsia="Times New Roman" w:hAnsi="Times New Roman" w:cs="Times New Roman"/>
                      <w:color w:val="000000" w:themeColor="text1"/>
                      <w:sz w:val="24"/>
                      <w:szCs w:val="24"/>
                      <w:lang w:eastAsia="fr-FR"/>
                    </w:rPr>
                  </w:pPr>
                  <w:r w:rsidRPr="0049694A">
                    <w:rPr>
                      <w:rFonts w:ascii="Times New Roman" w:eastAsia="Calibri" w:hAnsi="Times New Roman" w:cs="Times New Roman"/>
                      <w:sz w:val="24"/>
                      <w:szCs w:val="24"/>
                    </w:rPr>
                    <w:t xml:space="preserve">Président-rapporteur </w:t>
                  </w:r>
                  <w:r w:rsidRPr="0049694A">
                    <w:rPr>
                      <w:rFonts w:ascii="Times New Roman" w:eastAsia="Times New Roman" w:hAnsi="Times New Roman" w:cs="Times New Roman"/>
                      <w:color w:val="000000" w:themeColor="text1"/>
                      <w:sz w:val="24"/>
                      <w:szCs w:val="24"/>
                      <w:lang w:eastAsia="fr-FR"/>
                    </w:rPr>
                    <w:t xml:space="preserve"> </w:t>
                  </w:r>
                </w:p>
                <w:p w14:paraId="4F517328" w14:textId="77777777" w:rsidR="0049694A" w:rsidRPr="0049694A" w:rsidRDefault="0049694A" w:rsidP="0049694A">
                  <w:pPr>
                    <w:spacing w:after="0" w:line="240" w:lineRule="auto"/>
                    <w:ind w:right="-104"/>
                    <w:rPr>
                      <w:rFonts w:ascii="Times New Roman" w:eastAsia="Times New Roman" w:hAnsi="Times New Roman" w:cs="Times New Roman"/>
                      <w:color w:val="000000" w:themeColor="text1"/>
                      <w:sz w:val="24"/>
                      <w:szCs w:val="24"/>
                      <w:lang w:eastAsia="fr-FR"/>
                    </w:rPr>
                  </w:pPr>
                  <w:r w:rsidRPr="0049694A">
                    <w:rPr>
                      <w:rFonts w:ascii="Times New Roman" w:eastAsia="Times New Roman" w:hAnsi="Times New Roman" w:cs="Times New Roman"/>
                      <w:color w:val="000000" w:themeColor="text1"/>
                      <w:sz w:val="24"/>
                      <w:szCs w:val="24"/>
                      <w:lang w:eastAsia="fr-FR"/>
                    </w:rPr>
                    <w:t>___________</w:t>
                  </w:r>
                </w:p>
                <w:p w14:paraId="02BB982E" w14:textId="77777777" w:rsidR="0049694A" w:rsidRPr="0049694A" w:rsidRDefault="0049694A" w:rsidP="0049694A">
                  <w:pPr>
                    <w:spacing w:after="0" w:line="240" w:lineRule="auto"/>
                    <w:ind w:left="306" w:right="-104" w:firstLine="851"/>
                    <w:rPr>
                      <w:rFonts w:ascii="Times New Roman" w:eastAsia="Times New Roman" w:hAnsi="Times New Roman" w:cs="Times New Roman"/>
                      <w:color w:val="000000" w:themeColor="text1"/>
                      <w:sz w:val="24"/>
                      <w:szCs w:val="24"/>
                      <w:lang w:eastAsia="fr-FR"/>
                    </w:rPr>
                  </w:pPr>
                </w:p>
                <w:p w14:paraId="71C9DD99" w14:textId="77777777" w:rsidR="0049694A" w:rsidRPr="0049694A" w:rsidRDefault="0049694A" w:rsidP="0049694A">
                  <w:pPr>
                    <w:spacing w:after="0" w:line="240" w:lineRule="auto"/>
                    <w:ind w:right="-104"/>
                    <w:rPr>
                      <w:rFonts w:ascii="Times New Roman" w:eastAsia="Times New Roman" w:hAnsi="Times New Roman" w:cs="Times New Roman"/>
                      <w:color w:val="000000" w:themeColor="text1"/>
                      <w:sz w:val="24"/>
                      <w:szCs w:val="24"/>
                      <w:lang w:eastAsia="fr-FR"/>
                    </w:rPr>
                  </w:pPr>
                  <w:r w:rsidRPr="0049694A">
                    <w:rPr>
                      <w:rFonts w:ascii="Times New Roman" w:eastAsia="Times New Roman" w:hAnsi="Times New Roman" w:cs="Times New Roman"/>
                      <w:color w:val="000000" w:themeColor="text1"/>
                      <w:sz w:val="24"/>
                      <w:szCs w:val="24"/>
                      <w:lang w:eastAsia="fr-FR"/>
                    </w:rPr>
                    <w:t>M. Matthieu Holzer</w:t>
                  </w:r>
                </w:p>
                <w:p w14:paraId="68471BF6" w14:textId="77777777" w:rsidR="0049694A" w:rsidRPr="0049694A" w:rsidRDefault="0049694A" w:rsidP="0049694A">
                  <w:pPr>
                    <w:spacing w:after="0" w:line="240" w:lineRule="auto"/>
                    <w:ind w:right="-104"/>
                    <w:rPr>
                      <w:rFonts w:ascii="Times New Roman" w:eastAsia="Times New Roman" w:hAnsi="Times New Roman" w:cs="Times New Roman"/>
                      <w:color w:val="000000" w:themeColor="text1"/>
                      <w:sz w:val="24"/>
                      <w:szCs w:val="24"/>
                      <w:lang w:eastAsia="fr-FR"/>
                    </w:rPr>
                  </w:pPr>
                  <w:r w:rsidRPr="0049694A">
                    <w:rPr>
                      <w:rFonts w:ascii="Times New Roman" w:eastAsia="Times New Roman" w:hAnsi="Times New Roman" w:cs="Times New Roman"/>
                      <w:color w:val="000000" w:themeColor="text1"/>
                      <w:sz w:val="24"/>
                      <w:szCs w:val="24"/>
                      <w:lang w:eastAsia="fr-FR"/>
                    </w:rPr>
                    <w:t>Rapporteur public</w:t>
                  </w:r>
                </w:p>
                <w:p w14:paraId="0B0893FF" w14:textId="77777777" w:rsidR="0049694A" w:rsidRPr="0049694A" w:rsidRDefault="0049694A" w:rsidP="0049694A">
                  <w:pPr>
                    <w:spacing w:after="0" w:line="240" w:lineRule="auto"/>
                    <w:ind w:right="-104"/>
                    <w:rPr>
                      <w:rFonts w:ascii="Times New Roman" w:eastAsia="Times New Roman" w:hAnsi="Times New Roman" w:cs="Times New Roman"/>
                      <w:color w:val="000000" w:themeColor="text1"/>
                      <w:sz w:val="24"/>
                      <w:szCs w:val="24"/>
                      <w:lang w:eastAsia="fr-FR"/>
                    </w:rPr>
                  </w:pPr>
                  <w:r w:rsidRPr="0049694A">
                    <w:rPr>
                      <w:rFonts w:ascii="Times New Roman" w:eastAsia="Times New Roman" w:hAnsi="Times New Roman" w:cs="Times New Roman"/>
                      <w:color w:val="000000" w:themeColor="text1"/>
                      <w:sz w:val="24"/>
                      <w:szCs w:val="24"/>
                      <w:lang w:eastAsia="fr-FR"/>
                    </w:rPr>
                    <w:t>___________</w:t>
                  </w:r>
                </w:p>
                <w:p w14:paraId="63225921" w14:textId="77777777" w:rsidR="0049694A" w:rsidRPr="0049694A" w:rsidRDefault="0049694A" w:rsidP="0049694A">
                  <w:pPr>
                    <w:spacing w:after="0" w:line="240" w:lineRule="auto"/>
                    <w:ind w:right="-104"/>
                    <w:rPr>
                      <w:rFonts w:ascii="Times New Roman" w:eastAsia="Times New Roman" w:hAnsi="Times New Roman" w:cs="Times New Roman"/>
                      <w:color w:val="000000" w:themeColor="text1"/>
                      <w:sz w:val="24"/>
                      <w:szCs w:val="24"/>
                      <w:lang w:eastAsia="fr-FR"/>
                    </w:rPr>
                  </w:pPr>
                </w:p>
                <w:p w14:paraId="37C2295F" w14:textId="77777777" w:rsidR="0049694A" w:rsidRPr="0049694A" w:rsidRDefault="0049694A" w:rsidP="0049694A">
                  <w:pPr>
                    <w:spacing w:after="0" w:line="240" w:lineRule="auto"/>
                    <w:ind w:right="-104"/>
                    <w:rPr>
                      <w:rFonts w:ascii="Times New Roman" w:eastAsia="Times New Roman" w:hAnsi="Times New Roman" w:cs="Times New Roman"/>
                      <w:color w:val="000000" w:themeColor="text1"/>
                      <w:sz w:val="24"/>
                      <w:szCs w:val="24"/>
                      <w:lang w:eastAsia="fr-FR"/>
                    </w:rPr>
                  </w:pPr>
                  <w:r w:rsidRPr="0049694A">
                    <w:rPr>
                      <w:rFonts w:ascii="Times New Roman" w:eastAsia="Times New Roman" w:hAnsi="Times New Roman" w:cs="Times New Roman"/>
                      <w:color w:val="000000" w:themeColor="text1"/>
                      <w:sz w:val="24"/>
                      <w:szCs w:val="24"/>
                      <w:lang w:eastAsia="fr-FR"/>
                    </w:rPr>
                    <w:t>Audience du 6 février 2025</w:t>
                  </w:r>
                </w:p>
                <w:p w14:paraId="2EB9E7F2" w14:textId="6DA6CC6A" w:rsidR="0049694A" w:rsidRPr="0049694A" w:rsidRDefault="0049694A" w:rsidP="0049694A">
                  <w:pPr>
                    <w:spacing w:after="0" w:line="240" w:lineRule="auto"/>
                    <w:ind w:right="-104"/>
                    <w:rPr>
                      <w:rFonts w:ascii="Times New Roman" w:eastAsia="Times New Roman" w:hAnsi="Times New Roman" w:cs="Times New Roman"/>
                      <w:color w:val="000000" w:themeColor="text1"/>
                      <w:sz w:val="24"/>
                      <w:szCs w:val="24"/>
                      <w:lang w:eastAsia="fr-FR"/>
                    </w:rPr>
                  </w:pPr>
                  <w:r w:rsidRPr="0049694A">
                    <w:rPr>
                      <w:rFonts w:ascii="Times New Roman" w:eastAsia="Times New Roman" w:hAnsi="Times New Roman" w:cs="Times New Roman"/>
                      <w:color w:val="000000" w:themeColor="text1"/>
                      <w:sz w:val="24"/>
                      <w:szCs w:val="24"/>
                      <w:lang w:eastAsia="fr-FR"/>
                    </w:rPr>
                    <w:t>D</w:t>
                  </w:r>
                  <w:r w:rsidR="00E436D7">
                    <w:rPr>
                      <w:rFonts w:ascii="Times New Roman" w:eastAsia="Times New Roman" w:hAnsi="Times New Roman" w:cs="Times New Roman"/>
                      <w:color w:val="000000" w:themeColor="text1"/>
                      <w:sz w:val="24"/>
                      <w:szCs w:val="24"/>
                      <w:lang w:eastAsia="fr-FR"/>
                    </w:rPr>
                    <w:t>écision du 28</w:t>
                  </w:r>
                  <w:r w:rsidRPr="0049694A">
                    <w:rPr>
                      <w:rFonts w:ascii="Times New Roman" w:eastAsia="Times New Roman" w:hAnsi="Times New Roman" w:cs="Times New Roman"/>
                      <w:color w:val="000000" w:themeColor="text1"/>
                      <w:sz w:val="24"/>
                      <w:szCs w:val="24"/>
                      <w:lang w:eastAsia="fr-FR"/>
                    </w:rPr>
                    <w:t xml:space="preserve"> février 2025</w:t>
                  </w:r>
                </w:p>
                <w:p w14:paraId="2D03FEDD" w14:textId="77777777" w:rsidR="0049694A" w:rsidRPr="0049694A" w:rsidRDefault="0049694A" w:rsidP="0049694A">
                  <w:pPr>
                    <w:widowControl w:val="0"/>
                    <w:autoSpaceDE w:val="0"/>
                    <w:autoSpaceDN w:val="0"/>
                    <w:adjustRightInd w:val="0"/>
                    <w:spacing w:after="0" w:line="240" w:lineRule="auto"/>
                    <w:ind w:hanging="426"/>
                    <w:rPr>
                      <w:rFonts w:ascii="Times New Roman" w:eastAsia="Times New Roman" w:hAnsi="Times New Roman" w:cs="Times New Roman"/>
                      <w:color w:val="000000" w:themeColor="text1"/>
                      <w:sz w:val="24"/>
                      <w:szCs w:val="24"/>
                    </w:rPr>
                  </w:pPr>
                  <w:r w:rsidRPr="0049694A">
                    <w:rPr>
                      <w:rFonts w:ascii="Arial Unicode MS" w:eastAsia="Calibri" w:hAnsi="Arial Unicode MS" w:cs="Times New Roman"/>
                      <w:color w:val="000000" w:themeColor="text1"/>
                      <w:sz w:val="24"/>
                      <w:szCs w:val="24"/>
                      <w:lang w:eastAsia="fr-FR"/>
                    </w:rPr>
                    <w:t>___________</w:t>
                  </w:r>
                </w:p>
                <w:p w14:paraId="0D5536DC" w14:textId="77777777" w:rsidR="0049694A" w:rsidRPr="0049694A" w:rsidRDefault="0049694A" w:rsidP="0049694A">
                  <w:pPr>
                    <w:spacing w:after="0" w:line="240" w:lineRule="auto"/>
                    <w:ind w:right="-104"/>
                    <w:rPr>
                      <w:rFonts w:ascii="Times New Roman" w:eastAsia="Times New Roman" w:hAnsi="Times New Roman" w:cs="Times New Roman"/>
                      <w:color w:val="000000" w:themeColor="text1"/>
                      <w:sz w:val="24"/>
                      <w:szCs w:val="24"/>
                      <w:lang w:eastAsia="fr-FR"/>
                    </w:rPr>
                  </w:pPr>
                  <w:r w:rsidRPr="0049694A">
                    <w:rPr>
                      <w:rFonts w:ascii="Times New Roman" w:eastAsia="Times New Roman" w:hAnsi="Times New Roman" w:cs="Times New Roman"/>
                      <w:color w:val="000000" w:themeColor="text1"/>
                      <w:sz w:val="24"/>
                      <w:szCs w:val="24"/>
                      <w:highlight w:val="yellow"/>
                      <w:lang w:eastAsia="fr-FR"/>
                    </w:rPr>
                    <w:br/>
                  </w:r>
                  <w:r w:rsidRPr="0049694A">
                    <w:rPr>
                      <w:rFonts w:ascii="Times New Roman" w:eastAsia="Times New Roman" w:hAnsi="Times New Roman" w:cs="Times New Roman"/>
                      <w:color w:val="000000" w:themeColor="text1"/>
                      <w:sz w:val="24"/>
                      <w:szCs w:val="24"/>
                      <w:lang w:eastAsia="fr-FR"/>
                    </w:rPr>
                    <w:t>C</w:t>
                  </w:r>
                </w:p>
              </w:tc>
              <w:tc>
                <w:tcPr>
                  <w:tcW w:w="5103" w:type="dxa"/>
                  <w:tcBorders>
                    <w:top w:val="single" w:sz="6" w:space="0" w:color="FFFFFF"/>
                    <w:left w:val="single" w:sz="6" w:space="0" w:color="FFFFFF"/>
                    <w:bottom w:val="single" w:sz="6" w:space="0" w:color="FFFFFF"/>
                    <w:right w:val="single" w:sz="6" w:space="0" w:color="FFFFFF"/>
                  </w:tcBorders>
                </w:tcPr>
                <w:p w14:paraId="19264FD8" w14:textId="77777777" w:rsidR="0049694A" w:rsidRPr="0049694A" w:rsidRDefault="0049694A" w:rsidP="0049694A">
                  <w:pPr>
                    <w:widowControl w:val="0"/>
                    <w:tabs>
                      <w:tab w:val="left" w:pos="708"/>
                      <w:tab w:val="center" w:pos="4536"/>
                      <w:tab w:val="right" w:pos="9072"/>
                    </w:tabs>
                    <w:autoSpaceDE w:val="0"/>
                    <w:autoSpaceDN w:val="0"/>
                    <w:adjustRightInd w:val="0"/>
                    <w:spacing w:after="0" w:line="120" w:lineRule="exact"/>
                    <w:ind w:left="186" w:firstLine="851"/>
                    <w:rPr>
                      <w:rFonts w:ascii="Times New Roman" w:eastAsia="Times New Roman" w:hAnsi="Times New Roman" w:cs="Times New Roman"/>
                      <w:color w:val="000000" w:themeColor="text1"/>
                      <w:sz w:val="24"/>
                      <w:szCs w:val="24"/>
                    </w:rPr>
                  </w:pPr>
                </w:p>
                <w:p w14:paraId="6DD1D49A" w14:textId="77777777" w:rsidR="0049694A" w:rsidRPr="0049694A" w:rsidRDefault="0049694A" w:rsidP="0049694A">
                  <w:pPr>
                    <w:spacing w:after="0" w:line="240" w:lineRule="auto"/>
                    <w:ind w:left="186" w:firstLine="851"/>
                    <w:rPr>
                      <w:rFonts w:ascii="Times New Roman" w:eastAsia="Times New Roman" w:hAnsi="Times New Roman" w:cs="Times New Roman"/>
                      <w:color w:val="000000" w:themeColor="text1"/>
                      <w:sz w:val="24"/>
                      <w:szCs w:val="24"/>
                      <w:lang w:eastAsia="fr-FR"/>
                    </w:rPr>
                  </w:pPr>
                </w:p>
                <w:p w14:paraId="25D60E8F" w14:textId="77777777" w:rsidR="0049694A" w:rsidRPr="0049694A" w:rsidRDefault="0049694A" w:rsidP="0049694A">
                  <w:pPr>
                    <w:spacing w:after="0" w:line="240" w:lineRule="auto"/>
                    <w:ind w:left="186" w:firstLine="851"/>
                    <w:rPr>
                      <w:rFonts w:ascii="Times New Roman" w:eastAsia="Times New Roman" w:hAnsi="Times New Roman" w:cs="Times New Roman"/>
                      <w:color w:val="000000" w:themeColor="text1"/>
                      <w:sz w:val="24"/>
                      <w:szCs w:val="24"/>
                      <w:lang w:eastAsia="fr-FR"/>
                    </w:rPr>
                  </w:pPr>
                </w:p>
                <w:p w14:paraId="1FF94C1C" w14:textId="77777777" w:rsidR="0049694A" w:rsidRPr="0049694A" w:rsidRDefault="0049694A" w:rsidP="0049694A">
                  <w:pPr>
                    <w:spacing w:after="0" w:line="240" w:lineRule="auto"/>
                    <w:ind w:left="186" w:firstLine="851"/>
                    <w:rPr>
                      <w:rFonts w:ascii="Times New Roman" w:eastAsia="Times New Roman" w:hAnsi="Times New Roman" w:cs="Times New Roman"/>
                      <w:color w:val="000000" w:themeColor="text1"/>
                      <w:sz w:val="24"/>
                      <w:szCs w:val="24"/>
                      <w:lang w:eastAsia="fr-FR"/>
                    </w:rPr>
                  </w:pPr>
                </w:p>
                <w:p w14:paraId="39E97E94" w14:textId="77777777" w:rsidR="0049694A" w:rsidRPr="0049694A" w:rsidRDefault="0049694A" w:rsidP="0049694A">
                  <w:pPr>
                    <w:spacing w:after="0" w:line="240" w:lineRule="auto"/>
                    <w:ind w:left="186" w:firstLine="851"/>
                    <w:rPr>
                      <w:rFonts w:ascii="Times New Roman" w:eastAsia="Times New Roman" w:hAnsi="Times New Roman" w:cs="Times New Roman"/>
                      <w:color w:val="000000" w:themeColor="text1"/>
                      <w:sz w:val="24"/>
                      <w:szCs w:val="24"/>
                      <w:lang w:eastAsia="fr-FR"/>
                    </w:rPr>
                  </w:pPr>
                </w:p>
                <w:p w14:paraId="4DA9B447" w14:textId="77777777" w:rsidR="0049694A" w:rsidRPr="0049694A" w:rsidRDefault="0049694A" w:rsidP="0049694A">
                  <w:pPr>
                    <w:spacing w:after="0" w:line="240" w:lineRule="auto"/>
                    <w:ind w:left="-66"/>
                    <w:jc w:val="center"/>
                    <w:rPr>
                      <w:rFonts w:ascii="Times New Roman" w:eastAsia="Times New Roman" w:hAnsi="Times New Roman" w:cs="Times New Roman"/>
                      <w:b/>
                      <w:bCs/>
                      <w:color w:val="000000" w:themeColor="text1"/>
                      <w:sz w:val="24"/>
                      <w:szCs w:val="24"/>
                      <w:lang w:eastAsia="fr-FR"/>
                    </w:rPr>
                  </w:pPr>
                  <w:r w:rsidRPr="0049694A">
                    <w:rPr>
                      <w:rFonts w:ascii="Times New Roman" w:eastAsia="Times New Roman" w:hAnsi="Times New Roman" w:cs="Times New Roman"/>
                      <w:b/>
                      <w:bCs/>
                      <w:color w:val="000000" w:themeColor="text1"/>
                      <w:sz w:val="24"/>
                      <w:szCs w:val="24"/>
                      <w:lang w:eastAsia="fr-FR"/>
                    </w:rPr>
                    <w:t>RÉPUBLIQUE FRANÇAISE</w:t>
                  </w:r>
                </w:p>
                <w:p w14:paraId="0275F0B2" w14:textId="77777777" w:rsidR="0049694A" w:rsidRPr="0049694A" w:rsidRDefault="0049694A" w:rsidP="0049694A">
                  <w:pPr>
                    <w:spacing w:after="0" w:line="240" w:lineRule="auto"/>
                    <w:ind w:left="-66"/>
                    <w:rPr>
                      <w:rFonts w:ascii="Times New Roman" w:eastAsia="Times New Roman" w:hAnsi="Times New Roman" w:cs="Times New Roman"/>
                      <w:b/>
                      <w:bCs/>
                      <w:color w:val="000000" w:themeColor="text1"/>
                      <w:sz w:val="24"/>
                      <w:szCs w:val="24"/>
                      <w:lang w:eastAsia="fr-FR"/>
                    </w:rPr>
                  </w:pPr>
                </w:p>
                <w:p w14:paraId="019F9B88" w14:textId="77777777" w:rsidR="0049694A" w:rsidRPr="0049694A" w:rsidRDefault="0049694A" w:rsidP="0049694A">
                  <w:pPr>
                    <w:spacing w:after="0" w:line="240" w:lineRule="auto"/>
                    <w:ind w:left="-66"/>
                    <w:rPr>
                      <w:rFonts w:ascii="Times New Roman" w:eastAsia="Times New Roman" w:hAnsi="Times New Roman" w:cs="Times New Roman"/>
                      <w:b/>
                      <w:bCs/>
                      <w:color w:val="000000" w:themeColor="text1"/>
                      <w:sz w:val="24"/>
                      <w:szCs w:val="24"/>
                      <w:lang w:eastAsia="fr-FR"/>
                    </w:rPr>
                  </w:pPr>
                </w:p>
                <w:p w14:paraId="631E7318" w14:textId="77777777" w:rsidR="0049694A" w:rsidRPr="0049694A" w:rsidRDefault="0049694A" w:rsidP="0049694A">
                  <w:pPr>
                    <w:spacing w:after="0" w:line="240" w:lineRule="auto"/>
                    <w:ind w:left="-66"/>
                    <w:rPr>
                      <w:rFonts w:ascii="Times New Roman" w:eastAsia="Times New Roman" w:hAnsi="Times New Roman" w:cs="Times New Roman"/>
                      <w:b/>
                      <w:bCs/>
                      <w:color w:val="000000" w:themeColor="text1"/>
                      <w:sz w:val="24"/>
                      <w:szCs w:val="24"/>
                      <w:lang w:eastAsia="fr-FR"/>
                    </w:rPr>
                  </w:pPr>
                </w:p>
                <w:p w14:paraId="22324385" w14:textId="77777777" w:rsidR="0049694A" w:rsidRPr="0049694A" w:rsidRDefault="0049694A" w:rsidP="0049694A">
                  <w:pPr>
                    <w:spacing w:after="0" w:line="240" w:lineRule="auto"/>
                    <w:ind w:left="-66"/>
                    <w:jc w:val="center"/>
                    <w:rPr>
                      <w:rFonts w:ascii="Times New Roman" w:eastAsia="Times New Roman" w:hAnsi="Times New Roman" w:cs="Times New Roman"/>
                      <w:b/>
                      <w:bCs/>
                      <w:color w:val="000000" w:themeColor="text1"/>
                      <w:sz w:val="24"/>
                      <w:szCs w:val="24"/>
                      <w:lang w:eastAsia="fr-FR"/>
                    </w:rPr>
                  </w:pPr>
                  <w:r w:rsidRPr="0049694A">
                    <w:rPr>
                      <w:rFonts w:ascii="Times New Roman" w:eastAsia="Times New Roman" w:hAnsi="Times New Roman" w:cs="Times New Roman"/>
                      <w:b/>
                      <w:bCs/>
                      <w:color w:val="000000" w:themeColor="text1"/>
                      <w:sz w:val="24"/>
                      <w:szCs w:val="24"/>
                      <w:lang w:eastAsia="fr-FR"/>
                    </w:rPr>
                    <w:t>AU NOM DU PEUPLE FRANÇAIS</w:t>
                  </w:r>
                </w:p>
                <w:p w14:paraId="7D5509F3" w14:textId="77777777" w:rsidR="0049694A" w:rsidRPr="0049694A" w:rsidRDefault="0049694A" w:rsidP="0049694A">
                  <w:pPr>
                    <w:spacing w:after="0" w:line="240" w:lineRule="auto"/>
                    <w:ind w:left="-66"/>
                    <w:rPr>
                      <w:rFonts w:ascii="Times New Roman" w:eastAsia="Times New Roman" w:hAnsi="Times New Roman" w:cs="Times New Roman"/>
                      <w:b/>
                      <w:bCs/>
                      <w:color w:val="000000" w:themeColor="text1"/>
                      <w:sz w:val="24"/>
                      <w:szCs w:val="24"/>
                      <w:lang w:eastAsia="fr-FR"/>
                    </w:rPr>
                  </w:pPr>
                </w:p>
                <w:p w14:paraId="426B97CD" w14:textId="77777777" w:rsidR="0049694A" w:rsidRPr="0049694A" w:rsidRDefault="0049694A" w:rsidP="0049694A">
                  <w:pPr>
                    <w:spacing w:after="0" w:line="240" w:lineRule="auto"/>
                    <w:ind w:left="-66"/>
                    <w:rPr>
                      <w:rFonts w:ascii="Times New Roman" w:eastAsia="Times New Roman" w:hAnsi="Times New Roman" w:cs="Times New Roman"/>
                      <w:color w:val="000000" w:themeColor="text1"/>
                      <w:sz w:val="24"/>
                      <w:szCs w:val="24"/>
                      <w:lang w:eastAsia="fr-FR"/>
                    </w:rPr>
                  </w:pPr>
                </w:p>
                <w:p w14:paraId="34AB7C4C" w14:textId="77777777" w:rsidR="0049694A" w:rsidRPr="0049694A" w:rsidRDefault="0049694A" w:rsidP="0049694A">
                  <w:pPr>
                    <w:spacing w:after="0" w:line="240" w:lineRule="auto"/>
                    <w:ind w:left="-66"/>
                    <w:rPr>
                      <w:rFonts w:ascii="Times New Roman" w:eastAsia="Times New Roman" w:hAnsi="Times New Roman" w:cs="Times New Roman"/>
                      <w:color w:val="000000" w:themeColor="text1"/>
                      <w:sz w:val="24"/>
                      <w:szCs w:val="24"/>
                      <w:lang w:eastAsia="fr-FR"/>
                    </w:rPr>
                  </w:pPr>
                </w:p>
                <w:p w14:paraId="31CC4DDF" w14:textId="77777777" w:rsidR="0049694A" w:rsidRPr="0049694A" w:rsidRDefault="0049694A" w:rsidP="0049694A">
                  <w:pPr>
                    <w:spacing w:after="0" w:line="240" w:lineRule="auto"/>
                    <w:ind w:left="-66"/>
                    <w:jc w:val="center"/>
                    <w:rPr>
                      <w:rFonts w:ascii="Times New Roman" w:eastAsia="Times New Roman" w:hAnsi="Times New Roman" w:cs="Times New Roman"/>
                      <w:color w:val="000000" w:themeColor="text1"/>
                      <w:sz w:val="24"/>
                      <w:szCs w:val="24"/>
                      <w:lang w:eastAsia="fr-FR"/>
                    </w:rPr>
                  </w:pPr>
                  <w:r w:rsidRPr="0049694A">
                    <w:rPr>
                      <w:rFonts w:ascii="Times New Roman" w:eastAsia="Times New Roman" w:hAnsi="Times New Roman" w:cs="Times New Roman"/>
                      <w:color w:val="000000" w:themeColor="text1"/>
                      <w:sz w:val="24"/>
                      <w:szCs w:val="24"/>
                      <w:lang w:eastAsia="fr-FR"/>
                    </w:rPr>
                    <w:t xml:space="preserve">Le tribunal administratif </w:t>
                  </w:r>
                  <w:r w:rsidRPr="0049694A">
                    <w:rPr>
                      <w:rFonts w:ascii="Calibri" w:eastAsia="Calibri" w:hAnsi="Calibri" w:cs="Times New Roman"/>
                    </w:rPr>
                    <w:fldChar w:fldCharType="begin"/>
                  </w:r>
                  <w:r w:rsidRPr="0049694A">
                    <w:rPr>
                      <w:rFonts w:ascii="Calibri" w:eastAsia="Calibri" w:hAnsi="Calibri" w:cs="Times New Roman"/>
                    </w:rPr>
                    <w:instrText xml:space="preserve"> DOCVARIABLE TA__AR_T_JUR_VILLE_CAP \* MERGEFORMAT </w:instrText>
                  </w:r>
                  <w:r w:rsidRPr="0049694A">
                    <w:rPr>
                      <w:rFonts w:ascii="Calibri" w:eastAsia="Calibri" w:hAnsi="Calibri" w:cs="Times New Roman"/>
                    </w:rPr>
                    <w:fldChar w:fldCharType="separate"/>
                  </w:r>
                  <w:r w:rsidRPr="0049694A">
                    <w:rPr>
                      <w:rFonts w:ascii="Times New Roman" w:eastAsia="Times New Roman" w:hAnsi="Times New Roman" w:cs="Times New Roman"/>
                      <w:color w:val="000000" w:themeColor="text1"/>
                      <w:sz w:val="24"/>
                      <w:szCs w:val="24"/>
                      <w:lang w:eastAsia="fr-FR"/>
                    </w:rPr>
                    <w:t>de Nice</w:t>
                  </w:r>
                  <w:r w:rsidRPr="0049694A">
                    <w:rPr>
                      <w:rFonts w:ascii="Times New Roman" w:eastAsia="Times New Roman" w:hAnsi="Times New Roman" w:cs="Times New Roman"/>
                      <w:color w:val="000000" w:themeColor="text1"/>
                      <w:sz w:val="24"/>
                      <w:szCs w:val="24"/>
                      <w:lang w:eastAsia="fr-FR"/>
                    </w:rPr>
                    <w:fldChar w:fldCharType="end"/>
                  </w:r>
                </w:p>
                <w:p w14:paraId="05D42AD3" w14:textId="77777777" w:rsidR="0049694A" w:rsidRPr="0049694A" w:rsidRDefault="0049694A" w:rsidP="0049694A">
                  <w:pPr>
                    <w:spacing w:after="0" w:line="240" w:lineRule="auto"/>
                    <w:ind w:left="-66"/>
                    <w:rPr>
                      <w:rFonts w:ascii="Times New Roman" w:eastAsia="Times New Roman" w:hAnsi="Times New Roman" w:cs="Times New Roman"/>
                      <w:color w:val="000000" w:themeColor="text1"/>
                      <w:sz w:val="24"/>
                      <w:szCs w:val="24"/>
                      <w:lang w:eastAsia="fr-FR"/>
                    </w:rPr>
                  </w:pPr>
                </w:p>
                <w:p w14:paraId="377B86B7" w14:textId="77777777" w:rsidR="0049694A" w:rsidRPr="0049694A" w:rsidRDefault="0049694A" w:rsidP="0049694A">
                  <w:pPr>
                    <w:spacing w:after="0" w:line="240" w:lineRule="auto"/>
                    <w:ind w:left="-66"/>
                    <w:jc w:val="center"/>
                    <w:rPr>
                      <w:rFonts w:ascii="Times New Roman" w:eastAsia="Times New Roman" w:hAnsi="Times New Roman" w:cs="Times New Roman"/>
                      <w:color w:val="000000" w:themeColor="text1"/>
                      <w:sz w:val="24"/>
                      <w:szCs w:val="24"/>
                      <w:lang w:eastAsia="fr-FR"/>
                    </w:rPr>
                  </w:pPr>
                  <w:r w:rsidRPr="0049694A">
                    <w:rPr>
                      <w:rFonts w:ascii="Times New Roman" w:eastAsia="Times New Roman" w:hAnsi="Times New Roman" w:cs="Times New Roman"/>
                      <w:color w:val="000000" w:themeColor="text1"/>
                      <w:sz w:val="24"/>
                      <w:szCs w:val="24"/>
                      <w:lang w:eastAsia="fr-FR"/>
                    </w:rPr>
                    <w:t>(</w:t>
                  </w:r>
                  <w:r w:rsidRPr="0049694A">
                    <w:rPr>
                      <w:rFonts w:ascii="Calibri" w:eastAsia="Calibri" w:hAnsi="Calibri" w:cs="Times New Roman"/>
                    </w:rPr>
                    <w:fldChar w:fldCharType="begin"/>
                  </w:r>
                  <w:r w:rsidRPr="0049694A">
                    <w:rPr>
                      <w:rFonts w:ascii="Calibri" w:eastAsia="Calibri" w:hAnsi="Calibri" w:cs="Times New Roman"/>
                    </w:rPr>
                    <w:instrText xml:space="preserve"> DOCVARIABLE TA__AR_T_CHAMBRE \* MERGEFORMAT </w:instrText>
                  </w:r>
                  <w:r w:rsidRPr="0049694A">
                    <w:rPr>
                      <w:rFonts w:ascii="Calibri" w:eastAsia="Calibri" w:hAnsi="Calibri" w:cs="Times New Roman"/>
                    </w:rPr>
                    <w:fldChar w:fldCharType="separate"/>
                  </w:r>
                  <w:r w:rsidRPr="0049694A">
                    <w:rPr>
                      <w:rFonts w:ascii="Times New Roman" w:eastAsia="Times New Roman" w:hAnsi="Times New Roman" w:cs="Times New Roman"/>
                      <w:color w:val="000000" w:themeColor="text1"/>
                      <w:sz w:val="24"/>
                      <w:szCs w:val="24"/>
                      <w:lang w:eastAsia="fr-FR"/>
                    </w:rPr>
                    <w:t>2ème chambre</w:t>
                  </w:r>
                  <w:r w:rsidRPr="0049694A">
                    <w:rPr>
                      <w:rFonts w:ascii="Times New Roman" w:eastAsia="Times New Roman" w:hAnsi="Times New Roman" w:cs="Times New Roman"/>
                      <w:color w:val="000000" w:themeColor="text1"/>
                      <w:sz w:val="24"/>
                      <w:szCs w:val="24"/>
                      <w:lang w:eastAsia="fr-FR"/>
                    </w:rPr>
                    <w:fldChar w:fldCharType="end"/>
                  </w:r>
                  <w:r w:rsidRPr="0049694A">
                    <w:rPr>
                      <w:rFonts w:ascii="Times New Roman" w:eastAsia="Times New Roman" w:hAnsi="Times New Roman" w:cs="Times New Roman"/>
                      <w:color w:val="000000" w:themeColor="text1"/>
                      <w:sz w:val="24"/>
                      <w:szCs w:val="24"/>
                      <w:lang w:eastAsia="fr-FR"/>
                    </w:rPr>
                    <w:t>)</w:t>
                  </w:r>
                </w:p>
                <w:p w14:paraId="18EBFED0" w14:textId="77777777" w:rsidR="0049694A" w:rsidRPr="0049694A" w:rsidRDefault="0049694A" w:rsidP="0049694A">
                  <w:pPr>
                    <w:spacing w:after="58" w:line="240" w:lineRule="auto"/>
                    <w:ind w:left="186" w:firstLine="851"/>
                    <w:rPr>
                      <w:rFonts w:ascii="Times New Roman" w:eastAsia="Times New Roman" w:hAnsi="Times New Roman" w:cs="Times New Roman"/>
                      <w:color w:val="000000" w:themeColor="text1"/>
                      <w:sz w:val="24"/>
                      <w:szCs w:val="24"/>
                      <w:lang w:eastAsia="fr-FR"/>
                    </w:rPr>
                  </w:pPr>
                </w:p>
              </w:tc>
            </w:tr>
          </w:tbl>
          <w:p w14:paraId="4C27D3F3" w14:textId="77777777" w:rsidR="0049694A" w:rsidRPr="0049694A" w:rsidRDefault="0049694A" w:rsidP="0049694A">
            <w:pPr>
              <w:spacing w:line="256" w:lineRule="auto"/>
              <w:rPr>
                <w:rFonts w:ascii="Calibri" w:eastAsia="Calibri" w:hAnsi="Calibri" w:cs="Times New Roman"/>
              </w:rPr>
            </w:pPr>
          </w:p>
        </w:tc>
        <w:tc>
          <w:tcPr>
            <w:tcW w:w="160" w:type="dxa"/>
          </w:tcPr>
          <w:p w14:paraId="2EFAED97" w14:textId="77777777" w:rsidR="0049694A" w:rsidRPr="0049694A" w:rsidRDefault="0049694A" w:rsidP="0049694A">
            <w:pPr>
              <w:spacing w:after="0" w:line="240" w:lineRule="auto"/>
              <w:rPr>
                <w:rFonts w:ascii="Times New Roman" w:eastAsia="Times New Roman" w:hAnsi="Times New Roman" w:cs="Times New Roman"/>
                <w:color w:val="000000" w:themeColor="text1"/>
                <w:sz w:val="24"/>
                <w:szCs w:val="24"/>
                <w:lang w:eastAsia="fr-FR"/>
              </w:rPr>
            </w:pPr>
          </w:p>
        </w:tc>
      </w:tr>
    </w:tbl>
    <w:p w14:paraId="30E1F3D2" w14:textId="77777777" w:rsidR="0049694A" w:rsidRPr="0049694A" w:rsidRDefault="0049694A" w:rsidP="0049694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p w14:paraId="67539A06" w14:textId="77777777" w:rsidR="0049694A" w:rsidRPr="0049694A" w:rsidRDefault="0049694A" w:rsidP="0049694A">
      <w:pPr>
        <w:spacing w:after="0" w:line="240" w:lineRule="auto"/>
        <w:ind w:firstLine="851"/>
        <w:jc w:val="both"/>
        <w:rPr>
          <w:rFonts w:ascii="Times New Roman" w:eastAsia="Times New Roman" w:hAnsi="Times New Roman" w:cs="Times New Roman"/>
          <w:color w:val="000000" w:themeColor="text1"/>
          <w:sz w:val="24"/>
          <w:szCs w:val="24"/>
          <w:lang w:eastAsia="fr-FR"/>
        </w:rPr>
      </w:pPr>
      <w:r w:rsidRPr="0049694A">
        <w:rPr>
          <w:rFonts w:ascii="Times New Roman" w:eastAsia="Times New Roman" w:hAnsi="Times New Roman" w:cs="Times New Roman"/>
          <w:color w:val="000000" w:themeColor="text1"/>
          <w:sz w:val="24"/>
          <w:szCs w:val="24"/>
          <w:lang w:eastAsia="fr-FR"/>
        </w:rPr>
        <w:t>Vu la procédure suivante :</w:t>
      </w:r>
    </w:p>
    <w:p w14:paraId="0D48D71D" w14:textId="77777777" w:rsidR="0049694A" w:rsidRPr="0049694A" w:rsidRDefault="0049694A" w:rsidP="0049694A">
      <w:pPr>
        <w:spacing w:after="0" w:line="240" w:lineRule="auto"/>
        <w:jc w:val="both"/>
        <w:rPr>
          <w:rFonts w:ascii="Times New Roman" w:eastAsia="Times New Roman" w:hAnsi="Times New Roman" w:cs="Times New Roman"/>
          <w:color w:val="000000" w:themeColor="text1"/>
          <w:sz w:val="24"/>
          <w:szCs w:val="24"/>
          <w:lang w:eastAsia="fr-FR"/>
        </w:rPr>
      </w:pPr>
    </w:p>
    <w:p w14:paraId="3E711B79" w14:textId="77777777" w:rsidR="0049694A" w:rsidRDefault="0049694A" w:rsidP="00E36FBC">
      <w:pPr>
        <w:spacing w:after="0" w:line="240" w:lineRule="auto"/>
        <w:ind w:firstLine="851"/>
        <w:jc w:val="both"/>
        <w:rPr>
          <w:rFonts w:ascii="Times New Roman" w:eastAsia="Times New Roman" w:hAnsi="Times New Roman" w:cs="Times New Roman"/>
          <w:color w:val="000000" w:themeColor="text1"/>
          <w:sz w:val="24"/>
          <w:szCs w:val="24"/>
          <w:lang w:eastAsia="fr-FR"/>
        </w:rPr>
      </w:pPr>
      <w:r w:rsidRPr="0049694A">
        <w:rPr>
          <w:rFonts w:ascii="Times New Roman" w:eastAsia="Times New Roman" w:hAnsi="Times New Roman" w:cs="Times New Roman"/>
          <w:color w:val="000000" w:themeColor="text1"/>
          <w:sz w:val="24"/>
          <w:szCs w:val="24"/>
          <w:lang w:eastAsia="fr-FR"/>
        </w:rPr>
        <w:t xml:space="preserve">Par une requête et un mémoire, enregistrés les </w:t>
      </w:r>
      <w:r>
        <w:rPr>
          <w:rFonts w:ascii="Times New Roman" w:eastAsia="Times New Roman" w:hAnsi="Times New Roman" w:cs="Times New Roman"/>
          <w:color w:val="000000" w:themeColor="text1"/>
          <w:sz w:val="24"/>
          <w:szCs w:val="24"/>
          <w:lang w:eastAsia="fr-FR"/>
        </w:rPr>
        <w:t xml:space="preserve">2 mai 2024 et 14 octobre 2024, la </w:t>
      </w:r>
      <w:r w:rsidR="00E36FBC">
        <w:rPr>
          <w:rFonts w:ascii="Times New Roman" w:eastAsia="Times New Roman" w:hAnsi="Times New Roman" w:cs="Times New Roman"/>
          <w:color w:val="000000" w:themeColor="text1"/>
          <w:sz w:val="24"/>
          <w:szCs w:val="24"/>
          <w:lang w:eastAsia="fr-FR"/>
        </w:rPr>
        <w:t xml:space="preserve">délégation de la région </w:t>
      </w:r>
      <w:r w:rsidR="00E36FBC" w:rsidRPr="00E36FBC">
        <w:rPr>
          <w:rFonts w:ascii="Times New Roman" w:eastAsia="Times New Roman" w:hAnsi="Times New Roman" w:cs="Times New Roman"/>
          <w:color w:val="000000" w:themeColor="text1"/>
          <w:sz w:val="24"/>
          <w:szCs w:val="24"/>
          <w:lang w:eastAsia="fr-FR"/>
        </w:rPr>
        <w:t>Provence-Alpes-Côte d’Azur</w:t>
      </w:r>
      <w:r w:rsidR="00E36FBC">
        <w:rPr>
          <w:rFonts w:ascii="Times New Roman" w:eastAsia="Times New Roman" w:hAnsi="Times New Roman" w:cs="Times New Roman"/>
          <w:color w:val="000000" w:themeColor="text1"/>
          <w:sz w:val="24"/>
          <w:szCs w:val="24"/>
          <w:lang w:eastAsia="fr-FR"/>
        </w:rPr>
        <w:t xml:space="preserve"> de la </w:t>
      </w:r>
      <w:r>
        <w:rPr>
          <w:rFonts w:ascii="Times New Roman" w:eastAsia="Times New Roman" w:hAnsi="Times New Roman" w:cs="Times New Roman"/>
          <w:color w:val="000000" w:themeColor="text1"/>
          <w:sz w:val="24"/>
          <w:szCs w:val="24"/>
          <w:lang w:eastAsia="fr-FR"/>
        </w:rPr>
        <w:t xml:space="preserve">ligue pour la protection des oiseaux, représentée par Me Victoria, demande au tribunal : </w:t>
      </w:r>
    </w:p>
    <w:p w14:paraId="1437C3AE" w14:textId="77777777" w:rsidR="0049694A" w:rsidRPr="0049694A" w:rsidRDefault="0049694A" w:rsidP="0049694A">
      <w:pPr>
        <w:spacing w:after="0" w:line="240" w:lineRule="auto"/>
        <w:jc w:val="both"/>
        <w:rPr>
          <w:rFonts w:ascii="Times New Roman" w:eastAsia="Times New Roman" w:hAnsi="Times New Roman" w:cs="Times New Roman"/>
          <w:color w:val="000000" w:themeColor="text1"/>
          <w:sz w:val="24"/>
          <w:szCs w:val="24"/>
          <w:lang w:eastAsia="fr-FR"/>
        </w:rPr>
      </w:pPr>
    </w:p>
    <w:p w14:paraId="3A5AB211" w14:textId="77777777" w:rsidR="0049694A" w:rsidRPr="0049694A" w:rsidRDefault="0049694A" w:rsidP="0049694A">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1</w:t>
      </w:r>
      <w:r w:rsidRPr="0049694A">
        <w:rPr>
          <w:rFonts w:ascii="Times New Roman" w:eastAsia="Times New Roman" w:hAnsi="Times New Roman" w:cs="Times New Roman"/>
          <w:color w:val="000000" w:themeColor="text1"/>
          <w:sz w:val="24"/>
          <w:szCs w:val="24"/>
          <w:lang w:eastAsia="fr-FR"/>
        </w:rPr>
        <w:t>°) d’annuler l’arrêté du 1</w:t>
      </w:r>
      <w:r w:rsidRPr="0049694A">
        <w:rPr>
          <w:rFonts w:ascii="Times New Roman" w:eastAsia="Times New Roman" w:hAnsi="Times New Roman" w:cs="Times New Roman"/>
          <w:color w:val="000000" w:themeColor="text1"/>
          <w:sz w:val="24"/>
          <w:szCs w:val="24"/>
          <w:vertAlign w:val="superscript"/>
          <w:lang w:eastAsia="fr-FR"/>
        </w:rPr>
        <w:t>er</w:t>
      </w:r>
      <w:r w:rsidRPr="0049694A">
        <w:rPr>
          <w:rFonts w:ascii="Times New Roman" w:eastAsia="Times New Roman" w:hAnsi="Times New Roman" w:cs="Times New Roman"/>
          <w:color w:val="000000" w:themeColor="text1"/>
          <w:sz w:val="24"/>
          <w:szCs w:val="24"/>
          <w:lang w:eastAsia="fr-FR"/>
        </w:rPr>
        <w:t xml:space="preserve"> mars 2024 par lequel le préfet des Alpes-Maritimes a délivré à la société monégasque de l’électricité et du gaz un permis de construire portant sur la réalisation d’un parc photovoltaïque sur les parcelles cadastrées section E </w:t>
      </w:r>
      <w:proofErr w:type="spellStart"/>
      <w:r w:rsidRPr="0049694A">
        <w:rPr>
          <w:rFonts w:ascii="Times New Roman" w:eastAsia="Times New Roman" w:hAnsi="Times New Roman" w:cs="Times New Roman"/>
          <w:color w:val="000000" w:themeColor="text1"/>
          <w:sz w:val="24"/>
          <w:szCs w:val="24"/>
          <w:lang w:eastAsia="fr-FR"/>
        </w:rPr>
        <w:t>n°</w:t>
      </w:r>
      <w:r w:rsidRPr="0049694A">
        <w:rPr>
          <w:rFonts w:ascii="Times New Roman" w:eastAsia="Times New Roman" w:hAnsi="Times New Roman" w:cs="Times New Roman"/>
          <w:color w:val="000000" w:themeColor="text1"/>
          <w:sz w:val="24"/>
          <w:szCs w:val="24"/>
          <w:vertAlign w:val="superscript"/>
          <w:lang w:eastAsia="fr-FR"/>
        </w:rPr>
        <w:t>s</w:t>
      </w:r>
      <w:proofErr w:type="spellEnd"/>
      <w:r w:rsidRPr="0049694A">
        <w:rPr>
          <w:rFonts w:ascii="Times New Roman" w:eastAsia="Times New Roman" w:hAnsi="Times New Roman" w:cs="Times New Roman"/>
          <w:color w:val="000000" w:themeColor="text1"/>
          <w:sz w:val="24"/>
          <w:szCs w:val="24"/>
          <w:lang w:eastAsia="fr-FR"/>
        </w:rPr>
        <w:t xml:space="preserve"> 819, 822 et 824, situées au </w:t>
      </w:r>
      <w:r w:rsidR="00E36FBC">
        <w:rPr>
          <w:rFonts w:ascii="Times New Roman" w:eastAsia="Times New Roman" w:hAnsi="Times New Roman" w:cs="Times New Roman"/>
          <w:color w:val="000000" w:themeColor="text1"/>
          <w:sz w:val="24"/>
          <w:szCs w:val="24"/>
          <w:lang w:eastAsia="fr-FR"/>
        </w:rPr>
        <w:t>lieu-dit</w:t>
      </w:r>
      <w:r w:rsidRPr="0049694A">
        <w:rPr>
          <w:rFonts w:ascii="Times New Roman" w:eastAsia="Times New Roman" w:hAnsi="Times New Roman" w:cs="Times New Roman"/>
          <w:color w:val="000000" w:themeColor="text1"/>
          <w:sz w:val="24"/>
          <w:szCs w:val="24"/>
          <w:lang w:eastAsia="fr-FR"/>
        </w:rPr>
        <w:t xml:space="preserve"> « L’</w:t>
      </w:r>
      <w:proofErr w:type="spellStart"/>
      <w:r w:rsidRPr="0049694A">
        <w:rPr>
          <w:rFonts w:ascii="Times New Roman" w:eastAsia="Times New Roman" w:hAnsi="Times New Roman" w:cs="Times New Roman"/>
          <w:color w:val="000000" w:themeColor="text1"/>
          <w:sz w:val="24"/>
          <w:szCs w:val="24"/>
          <w:lang w:eastAsia="fr-FR"/>
        </w:rPr>
        <w:t>Arpasse</w:t>
      </w:r>
      <w:proofErr w:type="spellEnd"/>
      <w:r w:rsidRPr="0049694A">
        <w:rPr>
          <w:rFonts w:ascii="Times New Roman" w:eastAsia="Times New Roman" w:hAnsi="Times New Roman" w:cs="Times New Roman"/>
          <w:color w:val="000000" w:themeColor="text1"/>
          <w:sz w:val="24"/>
          <w:szCs w:val="24"/>
          <w:lang w:eastAsia="fr-FR"/>
        </w:rPr>
        <w:t> » ;</w:t>
      </w:r>
    </w:p>
    <w:p w14:paraId="446E176F" w14:textId="77777777" w:rsidR="0049694A" w:rsidRPr="0049694A" w:rsidRDefault="0049694A" w:rsidP="0049694A">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4E85CE52" w14:textId="77777777" w:rsidR="0049694A" w:rsidRPr="0049694A" w:rsidRDefault="00E36FBC" w:rsidP="0049694A">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2</w:t>
      </w:r>
      <w:r w:rsidR="0049694A" w:rsidRPr="0049694A">
        <w:rPr>
          <w:rFonts w:ascii="Times New Roman" w:eastAsia="Times New Roman" w:hAnsi="Times New Roman" w:cs="Times New Roman"/>
          <w:color w:val="000000" w:themeColor="text1"/>
          <w:sz w:val="24"/>
          <w:szCs w:val="24"/>
          <w:lang w:eastAsia="fr-FR"/>
        </w:rPr>
        <w:t xml:space="preserve">°) de mettre à la charge de </w:t>
      </w:r>
      <w:r>
        <w:rPr>
          <w:rFonts w:ascii="Times New Roman" w:eastAsia="Times New Roman" w:hAnsi="Times New Roman" w:cs="Times New Roman"/>
          <w:color w:val="000000" w:themeColor="text1"/>
          <w:sz w:val="24"/>
          <w:szCs w:val="24"/>
          <w:lang w:eastAsia="fr-FR"/>
        </w:rPr>
        <w:t xml:space="preserve">l’Etat et de </w:t>
      </w:r>
      <w:r w:rsidR="0049694A" w:rsidRPr="0049694A">
        <w:rPr>
          <w:rFonts w:ascii="Times New Roman" w:eastAsia="Times New Roman" w:hAnsi="Times New Roman" w:cs="Times New Roman"/>
          <w:color w:val="000000" w:themeColor="text1"/>
          <w:sz w:val="24"/>
          <w:szCs w:val="24"/>
          <w:lang w:eastAsia="fr-FR"/>
        </w:rPr>
        <w:t xml:space="preserve">la société monégasque de l’électricité et du gaz </w:t>
      </w:r>
      <w:r>
        <w:rPr>
          <w:rFonts w:ascii="Times New Roman" w:eastAsia="Times New Roman" w:hAnsi="Times New Roman" w:cs="Times New Roman"/>
          <w:color w:val="000000" w:themeColor="text1"/>
          <w:sz w:val="24"/>
          <w:szCs w:val="24"/>
          <w:lang w:eastAsia="fr-FR"/>
        </w:rPr>
        <w:t>la somme de 3</w:t>
      </w:r>
      <w:r w:rsidR="0049694A" w:rsidRPr="0049694A">
        <w:rPr>
          <w:rFonts w:ascii="Times New Roman" w:eastAsia="Times New Roman" w:hAnsi="Times New Roman" w:cs="Times New Roman"/>
          <w:color w:val="000000" w:themeColor="text1"/>
          <w:sz w:val="24"/>
          <w:szCs w:val="24"/>
          <w:lang w:eastAsia="fr-FR"/>
        </w:rPr>
        <w:t> 000 euros en application des dispositions de l’article L. 761-1 du code de justice administrative.</w:t>
      </w:r>
    </w:p>
    <w:p w14:paraId="7E490730" w14:textId="77777777" w:rsidR="0049694A" w:rsidRPr="0049694A" w:rsidRDefault="0049694A" w:rsidP="0049694A">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52A5AFC0" w14:textId="77777777" w:rsidR="00E36FBC" w:rsidRDefault="0049694A" w:rsidP="00E436D7">
      <w:pPr>
        <w:spacing w:after="0" w:line="240" w:lineRule="auto"/>
        <w:jc w:val="both"/>
        <w:rPr>
          <w:rFonts w:ascii="Times New Roman" w:eastAsia="Times New Roman" w:hAnsi="Times New Roman" w:cs="Times New Roman"/>
          <w:color w:val="000000" w:themeColor="text1"/>
          <w:sz w:val="24"/>
          <w:szCs w:val="24"/>
          <w:lang w:eastAsia="fr-FR"/>
        </w:rPr>
      </w:pPr>
      <w:r w:rsidRPr="0049694A">
        <w:rPr>
          <w:rFonts w:ascii="Times New Roman" w:eastAsia="Times New Roman" w:hAnsi="Times New Roman" w:cs="Times New Roman"/>
          <w:color w:val="000000" w:themeColor="text1"/>
          <w:sz w:val="24"/>
          <w:szCs w:val="24"/>
          <w:lang w:eastAsia="fr-FR"/>
        </w:rPr>
        <w:t>L</w:t>
      </w:r>
      <w:r w:rsidR="00E36FBC">
        <w:rPr>
          <w:rFonts w:ascii="Times New Roman" w:eastAsia="Times New Roman" w:hAnsi="Times New Roman" w:cs="Times New Roman"/>
          <w:color w:val="000000" w:themeColor="text1"/>
          <w:sz w:val="24"/>
          <w:szCs w:val="24"/>
          <w:lang w:eastAsia="fr-FR"/>
        </w:rPr>
        <w:t xml:space="preserve">’association requérante soutient que : </w:t>
      </w:r>
    </w:p>
    <w:p w14:paraId="39544792" w14:textId="2EFEA2F2" w:rsidR="00E36FBC" w:rsidRDefault="00E36FBC" w:rsidP="0049694A">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009C01E7">
        <w:rPr>
          <w:rFonts w:ascii="Times New Roman" w:eastAsia="Times New Roman" w:hAnsi="Times New Roman" w:cs="Times New Roman"/>
          <w:color w:val="000000" w:themeColor="text1"/>
          <w:sz w:val="24"/>
          <w:szCs w:val="24"/>
          <w:lang w:eastAsia="fr-FR"/>
        </w:rPr>
        <w:t>sa requête est recevable dès lors qu’elle a été introduite dans le délai de recours contentieux mentionné à l’article R. 311-6 du code de justice administrative et qu’elle justifie d’un intérêt à agir en sa qualité d’association agré</w:t>
      </w:r>
      <w:r w:rsidR="0030310E">
        <w:rPr>
          <w:rFonts w:ascii="Times New Roman" w:eastAsia="Times New Roman" w:hAnsi="Times New Roman" w:cs="Times New Roman"/>
          <w:color w:val="000000" w:themeColor="text1"/>
          <w:sz w:val="24"/>
          <w:szCs w:val="24"/>
          <w:lang w:eastAsia="fr-FR"/>
        </w:rPr>
        <w:t>é</w:t>
      </w:r>
      <w:r w:rsidR="009C01E7">
        <w:rPr>
          <w:rFonts w:ascii="Times New Roman" w:eastAsia="Times New Roman" w:hAnsi="Times New Roman" w:cs="Times New Roman"/>
          <w:color w:val="000000" w:themeColor="text1"/>
          <w:sz w:val="24"/>
          <w:szCs w:val="24"/>
          <w:lang w:eastAsia="fr-FR"/>
        </w:rPr>
        <w:t xml:space="preserve">e pour la protection de l’environnement </w:t>
      </w:r>
      <w:r w:rsidR="0030310E">
        <w:rPr>
          <w:rFonts w:ascii="Times New Roman" w:eastAsia="Times New Roman" w:hAnsi="Times New Roman" w:cs="Times New Roman"/>
          <w:color w:val="000000" w:themeColor="text1"/>
          <w:sz w:val="24"/>
          <w:szCs w:val="24"/>
          <w:lang w:eastAsia="fr-FR"/>
        </w:rPr>
        <w:t>au sens</w:t>
      </w:r>
      <w:r w:rsidR="009C01E7">
        <w:rPr>
          <w:rFonts w:ascii="Times New Roman" w:eastAsia="Times New Roman" w:hAnsi="Times New Roman" w:cs="Times New Roman"/>
          <w:color w:val="000000" w:themeColor="text1"/>
          <w:sz w:val="24"/>
          <w:szCs w:val="24"/>
          <w:lang w:eastAsia="fr-FR"/>
        </w:rPr>
        <w:t xml:space="preserve"> des dispositions des articles L. 141-1 et L. 142-1 du code de l’environnement ; </w:t>
      </w:r>
    </w:p>
    <w:p w14:paraId="714A7850" w14:textId="567DA2F6" w:rsidR="00E36FBC" w:rsidRDefault="00E36FBC" w:rsidP="0049694A">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w:t>
      </w:r>
      <w:r w:rsidR="009C01E7" w:rsidRPr="009C01E7">
        <w:t xml:space="preserve"> </w:t>
      </w:r>
      <w:r w:rsidR="009C01E7" w:rsidRPr="009C01E7">
        <w:rPr>
          <w:rFonts w:ascii="Times New Roman" w:eastAsia="Times New Roman" w:hAnsi="Times New Roman" w:cs="Times New Roman"/>
          <w:color w:val="000000" w:themeColor="text1"/>
          <w:sz w:val="24"/>
          <w:szCs w:val="24"/>
          <w:lang w:eastAsia="fr-FR"/>
        </w:rPr>
        <w:t>l’arrêté attaqué est entaché d’un vice de compétence de son signataire ;</w:t>
      </w:r>
    </w:p>
    <w:p w14:paraId="50F691D1" w14:textId="2E74B87D" w:rsidR="00E36FBC" w:rsidRDefault="00E36FBC" w:rsidP="0049694A">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w:t>
      </w:r>
      <w:r w:rsidR="009C01E7" w:rsidRPr="009C01E7">
        <w:t xml:space="preserve"> </w:t>
      </w:r>
      <w:r w:rsidR="009C01E7" w:rsidRPr="009C01E7">
        <w:rPr>
          <w:rFonts w:ascii="Times New Roman" w:eastAsia="Times New Roman" w:hAnsi="Times New Roman" w:cs="Times New Roman"/>
          <w:color w:val="000000" w:themeColor="text1"/>
          <w:sz w:val="24"/>
          <w:szCs w:val="24"/>
          <w:lang w:eastAsia="fr-FR"/>
        </w:rPr>
        <w:t>l’enquête publique qui s’est déroulée préalablement à l’adoption de l’arrêté atta</w:t>
      </w:r>
      <w:r w:rsidR="009C01E7">
        <w:rPr>
          <w:rFonts w:ascii="Times New Roman" w:eastAsia="Times New Roman" w:hAnsi="Times New Roman" w:cs="Times New Roman"/>
          <w:color w:val="000000" w:themeColor="text1"/>
          <w:sz w:val="24"/>
          <w:szCs w:val="24"/>
          <w:lang w:eastAsia="fr-FR"/>
        </w:rPr>
        <w:t>qué est entachée d’irrégularité compte tenu du délai insuffisant da</w:t>
      </w:r>
      <w:r w:rsidR="0030310E">
        <w:rPr>
          <w:rFonts w:ascii="Times New Roman" w:eastAsia="Times New Roman" w:hAnsi="Times New Roman" w:cs="Times New Roman"/>
          <w:color w:val="000000" w:themeColor="text1"/>
          <w:sz w:val="24"/>
          <w:szCs w:val="24"/>
          <w:lang w:eastAsia="fr-FR"/>
        </w:rPr>
        <w:t xml:space="preserve">ns lequel l’entier dossier de ladite </w:t>
      </w:r>
      <w:r w:rsidR="009C01E7">
        <w:rPr>
          <w:rFonts w:ascii="Times New Roman" w:eastAsia="Times New Roman" w:hAnsi="Times New Roman" w:cs="Times New Roman"/>
          <w:color w:val="000000" w:themeColor="text1"/>
          <w:sz w:val="24"/>
          <w:szCs w:val="24"/>
          <w:lang w:eastAsia="fr-FR"/>
        </w:rPr>
        <w:t>enquête était à la disposition du public,</w:t>
      </w:r>
      <w:r w:rsidR="009C01E7" w:rsidRPr="009C01E7">
        <w:rPr>
          <w:rFonts w:ascii="Times New Roman" w:eastAsia="Times New Roman" w:hAnsi="Times New Roman" w:cs="Times New Roman"/>
          <w:color w:val="000000" w:themeColor="text1"/>
          <w:sz w:val="24"/>
          <w:szCs w:val="24"/>
          <w:lang w:eastAsia="fr-FR"/>
        </w:rPr>
        <w:t xml:space="preserve"> de nature à entrainer l’illégalité </w:t>
      </w:r>
      <w:r w:rsidR="009C01E7">
        <w:rPr>
          <w:rFonts w:ascii="Times New Roman" w:eastAsia="Times New Roman" w:hAnsi="Times New Roman" w:cs="Times New Roman"/>
          <w:color w:val="000000" w:themeColor="text1"/>
          <w:sz w:val="24"/>
          <w:szCs w:val="24"/>
          <w:lang w:eastAsia="fr-FR"/>
        </w:rPr>
        <w:t>dudit arrêté ;</w:t>
      </w:r>
    </w:p>
    <w:p w14:paraId="2C10EF06" w14:textId="505DDAF0" w:rsidR="009C01E7" w:rsidRDefault="00E36FBC" w:rsidP="009C01E7">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lastRenderedPageBreak/>
        <w:t xml:space="preserve">- </w:t>
      </w:r>
      <w:r w:rsidR="009C01E7">
        <w:rPr>
          <w:rFonts w:ascii="Times New Roman" w:eastAsia="Times New Roman" w:hAnsi="Times New Roman" w:cs="Times New Roman"/>
          <w:color w:val="000000" w:themeColor="text1"/>
          <w:sz w:val="24"/>
          <w:szCs w:val="24"/>
          <w:lang w:eastAsia="fr-FR"/>
        </w:rPr>
        <w:t xml:space="preserve">le permis de construire </w:t>
      </w:r>
      <w:proofErr w:type="gramStart"/>
      <w:r w:rsidR="009C01E7">
        <w:rPr>
          <w:rFonts w:ascii="Times New Roman" w:eastAsia="Times New Roman" w:hAnsi="Times New Roman" w:cs="Times New Roman"/>
          <w:color w:val="000000" w:themeColor="text1"/>
          <w:sz w:val="24"/>
          <w:szCs w:val="24"/>
          <w:lang w:eastAsia="fr-FR"/>
        </w:rPr>
        <w:t>attaqué</w:t>
      </w:r>
      <w:proofErr w:type="gramEnd"/>
      <w:r w:rsidR="009C01E7">
        <w:rPr>
          <w:rFonts w:ascii="Times New Roman" w:eastAsia="Times New Roman" w:hAnsi="Times New Roman" w:cs="Times New Roman"/>
          <w:color w:val="000000" w:themeColor="text1"/>
          <w:sz w:val="24"/>
          <w:szCs w:val="24"/>
          <w:lang w:eastAsia="fr-FR"/>
        </w:rPr>
        <w:t xml:space="preserve"> est illégal dès lors que la demande ayant abouti à sa délivrance </w:t>
      </w:r>
      <w:r w:rsidR="0051149B">
        <w:rPr>
          <w:rFonts w:ascii="Times New Roman" w:eastAsia="Times New Roman" w:hAnsi="Times New Roman" w:cs="Times New Roman"/>
          <w:color w:val="000000" w:themeColor="text1"/>
          <w:sz w:val="24"/>
          <w:szCs w:val="24"/>
          <w:lang w:eastAsia="fr-FR"/>
        </w:rPr>
        <w:t>a été déposée en méconnaissance</w:t>
      </w:r>
      <w:r w:rsidR="009C01E7">
        <w:rPr>
          <w:rFonts w:ascii="Times New Roman" w:eastAsia="Times New Roman" w:hAnsi="Times New Roman" w:cs="Times New Roman"/>
          <w:color w:val="000000" w:themeColor="text1"/>
          <w:sz w:val="24"/>
          <w:szCs w:val="24"/>
          <w:lang w:eastAsia="fr-FR"/>
        </w:rPr>
        <w:t xml:space="preserve"> des dispositions des articles </w:t>
      </w:r>
      <w:r w:rsidR="009C01E7" w:rsidRPr="009C01E7">
        <w:rPr>
          <w:rFonts w:ascii="Times New Roman" w:eastAsia="Times New Roman" w:hAnsi="Times New Roman" w:cs="Times New Roman"/>
          <w:color w:val="000000" w:themeColor="text1"/>
          <w:sz w:val="24"/>
          <w:szCs w:val="24"/>
          <w:lang w:eastAsia="fr-FR"/>
        </w:rPr>
        <w:t xml:space="preserve">R.* 431-5 </w:t>
      </w:r>
      <w:r w:rsidR="009C01E7">
        <w:rPr>
          <w:rFonts w:ascii="Times New Roman" w:eastAsia="Times New Roman" w:hAnsi="Times New Roman" w:cs="Times New Roman"/>
          <w:color w:val="000000" w:themeColor="text1"/>
          <w:sz w:val="24"/>
          <w:szCs w:val="24"/>
          <w:lang w:eastAsia="fr-FR"/>
        </w:rPr>
        <w:t xml:space="preserve">et </w:t>
      </w:r>
      <w:r w:rsidR="009C01E7" w:rsidRPr="009C01E7">
        <w:rPr>
          <w:rFonts w:ascii="Times New Roman" w:eastAsia="Times New Roman" w:hAnsi="Times New Roman" w:cs="Times New Roman"/>
          <w:color w:val="000000" w:themeColor="text1"/>
          <w:sz w:val="24"/>
          <w:szCs w:val="24"/>
          <w:lang w:eastAsia="fr-FR"/>
        </w:rPr>
        <w:t>R.* 423-1</w:t>
      </w:r>
      <w:r w:rsidR="009C01E7">
        <w:rPr>
          <w:rFonts w:ascii="Times New Roman" w:eastAsia="Times New Roman" w:hAnsi="Times New Roman" w:cs="Times New Roman"/>
          <w:color w:val="000000" w:themeColor="text1"/>
          <w:sz w:val="24"/>
          <w:szCs w:val="24"/>
          <w:lang w:eastAsia="fr-FR"/>
        </w:rPr>
        <w:t xml:space="preserve"> du code de l’urbanisme ;</w:t>
      </w:r>
    </w:p>
    <w:p w14:paraId="5C6A7A9C" w14:textId="7DD255CA" w:rsidR="009C01E7" w:rsidRDefault="009C01E7" w:rsidP="009C01E7">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9C01E7">
        <w:rPr>
          <w:rFonts w:ascii="Times New Roman" w:eastAsia="Times New Roman" w:hAnsi="Times New Roman" w:cs="Times New Roman"/>
          <w:color w:val="000000" w:themeColor="text1"/>
          <w:sz w:val="24"/>
          <w:szCs w:val="24"/>
          <w:lang w:eastAsia="fr-FR"/>
        </w:rPr>
        <w:t xml:space="preserve">l’étude d’impact rédigée préalablement à la délivrance du permis de construire </w:t>
      </w:r>
      <w:proofErr w:type="gramStart"/>
      <w:r w:rsidRPr="009C01E7">
        <w:rPr>
          <w:rFonts w:ascii="Times New Roman" w:eastAsia="Times New Roman" w:hAnsi="Times New Roman" w:cs="Times New Roman"/>
          <w:color w:val="000000" w:themeColor="text1"/>
          <w:sz w:val="24"/>
          <w:szCs w:val="24"/>
          <w:lang w:eastAsia="fr-FR"/>
        </w:rPr>
        <w:t>attaqué</w:t>
      </w:r>
      <w:proofErr w:type="gramEnd"/>
      <w:r w:rsidRPr="009C01E7">
        <w:rPr>
          <w:rFonts w:ascii="Times New Roman" w:eastAsia="Times New Roman" w:hAnsi="Times New Roman" w:cs="Times New Roman"/>
          <w:color w:val="000000" w:themeColor="text1"/>
          <w:sz w:val="24"/>
          <w:szCs w:val="24"/>
          <w:lang w:eastAsia="fr-FR"/>
        </w:rPr>
        <w:t xml:space="preserve"> est insuffisante en méconnaissance des dispositions des articles L. 414-4 et R. 122-5 du code de l’environnement ;</w:t>
      </w:r>
    </w:p>
    <w:p w14:paraId="093230B4" w14:textId="4298C3EF" w:rsidR="009C01E7" w:rsidRDefault="009C01E7" w:rsidP="009C01E7">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le permis de construire </w:t>
      </w:r>
      <w:proofErr w:type="gramStart"/>
      <w:r>
        <w:rPr>
          <w:rFonts w:ascii="Times New Roman" w:eastAsia="Times New Roman" w:hAnsi="Times New Roman" w:cs="Times New Roman"/>
          <w:color w:val="000000" w:themeColor="text1"/>
          <w:sz w:val="24"/>
          <w:szCs w:val="24"/>
          <w:lang w:eastAsia="fr-FR"/>
        </w:rPr>
        <w:t>attaqué</w:t>
      </w:r>
      <w:proofErr w:type="gramEnd"/>
      <w:r>
        <w:rPr>
          <w:rFonts w:ascii="Times New Roman" w:eastAsia="Times New Roman" w:hAnsi="Times New Roman" w:cs="Times New Roman"/>
          <w:color w:val="000000" w:themeColor="text1"/>
          <w:sz w:val="24"/>
          <w:szCs w:val="24"/>
          <w:lang w:eastAsia="fr-FR"/>
        </w:rPr>
        <w:t xml:space="preserve"> </w:t>
      </w:r>
      <w:r w:rsidRPr="009C01E7">
        <w:rPr>
          <w:rFonts w:ascii="Times New Roman" w:eastAsia="Times New Roman" w:hAnsi="Times New Roman" w:cs="Times New Roman"/>
          <w:color w:val="000000" w:themeColor="text1"/>
          <w:sz w:val="24"/>
          <w:szCs w:val="24"/>
          <w:lang w:eastAsia="fr-FR"/>
        </w:rPr>
        <w:t>méconnaît les dispositions de l’article R. 111-26 du code de l’urbanisme ;</w:t>
      </w:r>
    </w:p>
    <w:p w14:paraId="79A185A2" w14:textId="0CAF1016" w:rsidR="009C01E7" w:rsidRDefault="009C01E7" w:rsidP="009C01E7">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003A07E1">
        <w:rPr>
          <w:rFonts w:ascii="Times New Roman" w:eastAsia="Times New Roman" w:hAnsi="Times New Roman" w:cs="Times New Roman"/>
          <w:color w:val="000000" w:themeColor="text1"/>
          <w:sz w:val="24"/>
          <w:szCs w:val="24"/>
          <w:lang w:eastAsia="fr-FR"/>
        </w:rPr>
        <w:t>ledit permis de construire méconnaît les dispositions du deuxième alinéa</w:t>
      </w:r>
      <w:r w:rsidR="003A07E1" w:rsidRPr="003A07E1">
        <w:rPr>
          <w:rFonts w:ascii="Times New Roman" w:eastAsia="Times New Roman" w:hAnsi="Times New Roman" w:cs="Times New Roman"/>
          <w:color w:val="000000" w:themeColor="text1"/>
          <w:sz w:val="24"/>
          <w:szCs w:val="24"/>
          <w:lang w:eastAsia="fr-FR"/>
        </w:rPr>
        <w:t xml:space="preserve"> de l’article L. 122-1-1 du code de l’environnement</w:t>
      </w:r>
      <w:r w:rsidR="003A07E1">
        <w:rPr>
          <w:rFonts w:ascii="Times New Roman" w:eastAsia="Times New Roman" w:hAnsi="Times New Roman" w:cs="Times New Roman"/>
          <w:color w:val="000000" w:themeColor="text1"/>
          <w:sz w:val="24"/>
          <w:szCs w:val="24"/>
          <w:lang w:eastAsia="fr-FR"/>
        </w:rPr>
        <w:t> ;</w:t>
      </w:r>
    </w:p>
    <w:p w14:paraId="31992857" w14:textId="34CF4810" w:rsidR="003A07E1" w:rsidRDefault="003A07E1" w:rsidP="009C01E7">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ledit permis de construire méconnaît les dispositions de l’article L. 163-1 du code de l’environnement ;</w:t>
      </w:r>
    </w:p>
    <w:p w14:paraId="75BA63B4" w14:textId="36299005" w:rsidR="003A07E1" w:rsidRDefault="003A07E1" w:rsidP="009C01E7">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3A07E1">
        <w:rPr>
          <w:rFonts w:ascii="Times New Roman" w:eastAsia="Times New Roman" w:hAnsi="Times New Roman" w:cs="Times New Roman"/>
          <w:color w:val="000000" w:themeColor="text1"/>
          <w:sz w:val="24"/>
          <w:szCs w:val="24"/>
          <w:lang w:eastAsia="fr-FR"/>
        </w:rPr>
        <w:t>ledit permis de construire méconnaît les dispositions de l’article R. 111-2 du code de l’urbanisme ;</w:t>
      </w:r>
    </w:p>
    <w:p w14:paraId="7386DBCA" w14:textId="1F8BC788" w:rsidR="0051149B" w:rsidRDefault="0051149B" w:rsidP="0051149B">
      <w:pPr>
        <w:spacing w:after="0" w:line="240" w:lineRule="auto"/>
        <w:ind w:firstLine="851"/>
        <w:jc w:val="both"/>
        <w:rPr>
          <w:rFonts w:ascii="Times New Roman" w:eastAsia="Times New Roman" w:hAnsi="Times New Roman" w:cs="Times New Roman"/>
          <w:color w:val="000000" w:themeColor="text1"/>
          <w:sz w:val="24"/>
          <w:szCs w:val="24"/>
          <w:lang w:eastAsia="fr-FR"/>
        </w:rPr>
      </w:pPr>
      <w:r w:rsidRPr="0051149B">
        <w:rPr>
          <w:rFonts w:ascii="Times New Roman" w:eastAsia="Times New Roman" w:hAnsi="Times New Roman" w:cs="Times New Roman"/>
          <w:color w:val="000000" w:themeColor="text1"/>
          <w:sz w:val="24"/>
          <w:szCs w:val="24"/>
          <w:lang w:eastAsia="fr-FR"/>
        </w:rPr>
        <w:t>- ledit permis de construire méconnaît les dispositions de l’article R. 111-27 du code de l’urbanisme ;</w:t>
      </w:r>
    </w:p>
    <w:p w14:paraId="7CEBA85E" w14:textId="328DE0C4" w:rsidR="003A07E1" w:rsidRDefault="003A07E1" w:rsidP="009C01E7">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et ledit permis de construire est illégal par la voie de l’exception d’illégalité du règlement du plan local d’urbanisme métropolitain, </w:t>
      </w:r>
      <w:r w:rsidRPr="003A07E1">
        <w:rPr>
          <w:rFonts w:ascii="Times New Roman" w:eastAsia="Times New Roman" w:hAnsi="Times New Roman" w:cs="Times New Roman"/>
          <w:color w:val="000000" w:themeColor="text1"/>
          <w:sz w:val="24"/>
          <w:szCs w:val="24"/>
          <w:lang w:eastAsia="fr-FR"/>
        </w:rPr>
        <w:t xml:space="preserve">dans sa version issue de la délibération du 25 septembre 2023 par laquelle le conseil métropolitain de la métropole Nice Côte d’Azur a déclaré d’intérêt général le projet, objet du permis de construire attaqué, et a approuvé cette déclaration emportant mise en compatibilité dudit document d’urbanisme, au regard des modalités d’application des dispositions particulières relatives aux zones de montagne contenues dans la directive territorial d’aménagement </w:t>
      </w:r>
      <w:r>
        <w:rPr>
          <w:rFonts w:ascii="Times New Roman" w:eastAsia="Times New Roman" w:hAnsi="Times New Roman" w:cs="Times New Roman"/>
          <w:color w:val="000000" w:themeColor="text1"/>
          <w:sz w:val="24"/>
          <w:szCs w:val="24"/>
          <w:lang w:eastAsia="fr-FR"/>
        </w:rPr>
        <w:t xml:space="preserve">des Alpes-Maritimes. </w:t>
      </w:r>
    </w:p>
    <w:p w14:paraId="54BACC2A" w14:textId="77777777" w:rsidR="0049694A" w:rsidRPr="0049694A" w:rsidRDefault="0049694A" w:rsidP="0049694A">
      <w:pPr>
        <w:spacing w:after="0" w:line="240" w:lineRule="auto"/>
        <w:jc w:val="both"/>
        <w:rPr>
          <w:rFonts w:ascii="Times New Roman" w:eastAsia="Times New Roman" w:hAnsi="Times New Roman" w:cs="Times New Roman"/>
          <w:color w:val="000000" w:themeColor="text1"/>
          <w:sz w:val="24"/>
          <w:szCs w:val="24"/>
          <w:lang w:eastAsia="fr-FR"/>
        </w:rPr>
      </w:pPr>
    </w:p>
    <w:p w14:paraId="1D37467E" w14:textId="77777777" w:rsidR="00E36FBC" w:rsidRDefault="0049694A" w:rsidP="00E36FBC">
      <w:pPr>
        <w:spacing w:after="0" w:line="240" w:lineRule="auto"/>
        <w:ind w:firstLine="851"/>
        <w:jc w:val="both"/>
        <w:rPr>
          <w:rFonts w:ascii="Times New Roman" w:eastAsia="Times New Roman" w:hAnsi="Times New Roman" w:cs="Times New Roman"/>
          <w:color w:val="000000" w:themeColor="text1"/>
          <w:sz w:val="24"/>
          <w:szCs w:val="24"/>
          <w:lang w:eastAsia="fr-FR"/>
        </w:rPr>
      </w:pPr>
      <w:r w:rsidRPr="0049694A">
        <w:rPr>
          <w:rFonts w:ascii="Times New Roman" w:eastAsia="Times New Roman" w:hAnsi="Times New Roman" w:cs="Times New Roman"/>
          <w:color w:val="000000" w:themeColor="text1"/>
          <w:sz w:val="24"/>
          <w:szCs w:val="24"/>
          <w:lang w:eastAsia="fr-FR"/>
        </w:rPr>
        <w:t xml:space="preserve">Par un mémoire en défense, enregistré le 10 septembre 2024, le préfet des Alpes-Maritimes conclut au rejet de la requête dès lors qu’aucun des moyens présentés par </w:t>
      </w:r>
      <w:r w:rsidR="00E36FBC">
        <w:rPr>
          <w:rFonts w:ascii="Times New Roman" w:eastAsia="Times New Roman" w:hAnsi="Times New Roman" w:cs="Times New Roman"/>
          <w:color w:val="000000" w:themeColor="text1"/>
          <w:sz w:val="24"/>
          <w:szCs w:val="24"/>
          <w:lang w:eastAsia="fr-FR"/>
        </w:rPr>
        <w:t>l’association requérante</w:t>
      </w:r>
      <w:r w:rsidRPr="0049694A">
        <w:rPr>
          <w:rFonts w:ascii="Times New Roman" w:eastAsia="Times New Roman" w:hAnsi="Times New Roman" w:cs="Times New Roman"/>
          <w:color w:val="000000" w:themeColor="text1"/>
          <w:sz w:val="24"/>
          <w:szCs w:val="24"/>
          <w:lang w:eastAsia="fr-FR"/>
        </w:rPr>
        <w:t xml:space="preserve"> à l’appui de </w:t>
      </w:r>
      <w:r w:rsidR="00E36FBC">
        <w:rPr>
          <w:rFonts w:ascii="Times New Roman" w:eastAsia="Times New Roman" w:hAnsi="Times New Roman" w:cs="Times New Roman"/>
          <w:color w:val="000000" w:themeColor="text1"/>
          <w:sz w:val="24"/>
          <w:szCs w:val="24"/>
          <w:lang w:eastAsia="fr-FR"/>
        </w:rPr>
        <w:t>ses</w:t>
      </w:r>
      <w:r w:rsidRPr="0049694A">
        <w:rPr>
          <w:rFonts w:ascii="Times New Roman" w:eastAsia="Times New Roman" w:hAnsi="Times New Roman" w:cs="Times New Roman"/>
          <w:color w:val="000000" w:themeColor="text1"/>
          <w:sz w:val="24"/>
          <w:szCs w:val="24"/>
          <w:lang w:eastAsia="fr-FR"/>
        </w:rPr>
        <w:t xml:space="preserve"> conclusions à fin d’annulation de l’arrêté du 1</w:t>
      </w:r>
      <w:r w:rsidRPr="0049694A">
        <w:rPr>
          <w:rFonts w:ascii="Times New Roman" w:eastAsia="Times New Roman" w:hAnsi="Times New Roman" w:cs="Times New Roman"/>
          <w:color w:val="000000" w:themeColor="text1"/>
          <w:sz w:val="24"/>
          <w:szCs w:val="24"/>
          <w:vertAlign w:val="superscript"/>
          <w:lang w:eastAsia="fr-FR"/>
        </w:rPr>
        <w:t xml:space="preserve">er </w:t>
      </w:r>
      <w:r w:rsidR="00E36FBC">
        <w:rPr>
          <w:rFonts w:ascii="Times New Roman" w:eastAsia="Times New Roman" w:hAnsi="Times New Roman" w:cs="Times New Roman"/>
          <w:color w:val="000000" w:themeColor="text1"/>
          <w:sz w:val="24"/>
          <w:szCs w:val="24"/>
          <w:lang w:eastAsia="fr-FR"/>
        </w:rPr>
        <w:t>mars 2024, n’est fondé.</w:t>
      </w:r>
    </w:p>
    <w:p w14:paraId="6C982471" w14:textId="77777777" w:rsidR="00E36FBC" w:rsidRDefault="00E36FBC" w:rsidP="00E36FBC">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23BAE6A2" w14:textId="574F313E" w:rsidR="0049694A" w:rsidRPr="0049694A" w:rsidRDefault="0049694A" w:rsidP="00E36FBC">
      <w:pPr>
        <w:spacing w:after="0" w:line="240" w:lineRule="auto"/>
        <w:ind w:firstLine="851"/>
        <w:jc w:val="both"/>
        <w:rPr>
          <w:rFonts w:ascii="Times New Roman" w:eastAsia="Times New Roman" w:hAnsi="Times New Roman" w:cs="Times New Roman"/>
          <w:color w:val="000000" w:themeColor="text1"/>
          <w:sz w:val="24"/>
          <w:szCs w:val="24"/>
          <w:lang w:eastAsia="fr-FR"/>
        </w:rPr>
      </w:pPr>
      <w:r w:rsidRPr="0049694A">
        <w:rPr>
          <w:rFonts w:ascii="Times New Roman" w:eastAsia="Times New Roman" w:hAnsi="Times New Roman" w:cs="Times New Roman"/>
          <w:color w:val="000000" w:themeColor="text1"/>
          <w:sz w:val="24"/>
          <w:szCs w:val="24"/>
          <w:lang w:eastAsia="fr-FR"/>
        </w:rPr>
        <w:t xml:space="preserve">Par deux mémoires en défense, enregistrés les 12 septembre 2024 et 3 décembre 2024, la société monégasque de l’électricité et du gaz, représentée par la société civile professionnelle </w:t>
      </w:r>
      <w:proofErr w:type="spellStart"/>
      <w:r w:rsidRPr="0049694A">
        <w:rPr>
          <w:rFonts w:ascii="Times New Roman" w:eastAsia="Times New Roman" w:hAnsi="Times New Roman" w:cs="Times New Roman"/>
          <w:color w:val="000000" w:themeColor="text1"/>
          <w:sz w:val="24"/>
          <w:szCs w:val="24"/>
          <w:lang w:eastAsia="fr-FR"/>
        </w:rPr>
        <w:t>Piwnica</w:t>
      </w:r>
      <w:proofErr w:type="spellEnd"/>
      <w:r w:rsidRPr="0049694A">
        <w:rPr>
          <w:rFonts w:ascii="Times New Roman" w:eastAsia="Times New Roman" w:hAnsi="Times New Roman" w:cs="Times New Roman"/>
          <w:color w:val="000000" w:themeColor="text1"/>
          <w:sz w:val="24"/>
          <w:szCs w:val="24"/>
          <w:lang w:eastAsia="fr-FR"/>
        </w:rPr>
        <w:t xml:space="preserve"> et </w:t>
      </w:r>
      <w:proofErr w:type="spellStart"/>
      <w:r w:rsidRPr="0049694A">
        <w:rPr>
          <w:rFonts w:ascii="Times New Roman" w:eastAsia="Times New Roman" w:hAnsi="Times New Roman" w:cs="Times New Roman"/>
          <w:color w:val="000000" w:themeColor="text1"/>
          <w:sz w:val="24"/>
          <w:szCs w:val="24"/>
          <w:lang w:eastAsia="fr-FR"/>
        </w:rPr>
        <w:t>Molinié</w:t>
      </w:r>
      <w:proofErr w:type="spellEnd"/>
      <w:r w:rsidRPr="0049694A">
        <w:rPr>
          <w:rFonts w:ascii="Times New Roman" w:eastAsia="Times New Roman" w:hAnsi="Times New Roman" w:cs="Times New Roman"/>
          <w:color w:val="000000" w:themeColor="text1"/>
          <w:sz w:val="24"/>
          <w:szCs w:val="24"/>
          <w:lang w:eastAsia="fr-FR"/>
        </w:rPr>
        <w:t xml:space="preserve">, conclut au rejet de la requête et à ce que le tribunal mette à la charge </w:t>
      </w:r>
      <w:r w:rsidR="00E36FBC">
        <w:rPr>
          <w:rFonts w:ascii="Times New Roman" w:eastAsia="Times New Roman" w:hAnsi="Times New Roman" w:cs="Times New Roman"/>
          <w:color w:val="000000" w:themeColor="text1"/>
          <w:sz w:val="24"/>
          <w:szCs w:val="24"/>
          <w:lang w:eastAsia="fr-FR"/>
        </w:rPr>
        <w:t>de l’association requérante</w:t>
      </w:r>
      <w:r w:rsidRPr="0049694A">
        <w:rPr>
          <w:rFonts w:ascii="Times New Roman" w:eastAsia="Times New Roman" w:hAnsi="Times New Roman" w:cs="Times New Roman"/>
          <w:color w:val="000000" w:themeColor="text1"/>
          <w:sz w:val="24"/>
          <w:szCs w:val="24"/>
          <w:lang w:eastAsia="fr-FR"/>
        </w:rPr>
        <w:t xml:space="preserve"> la somme de 5 000 euros en application des dispositions de l’article </w:t>
      </w:r>
      <w:r w:rsidR="00E436D7">
        <w:rPr>
          <w:rFonts w:ascii="Times New Roman" w:eastAsia="Times New Roman" w:hAnsi="Times New Roman" w:cs="Times New Roman"/>
          <w:color w:val="000000" w:themeColor="text1"/>
          <w:sz w:val="24"/>
          <w:szCs w:val="24"/>
          <w:lang w:eastAsia="fr-FR"/>
        </w:rPr>
        <w:t xml:space="preserve">    </w:t>
      </w:r>
      <w:r w:rsidRPr="0049694A">
        <w:rPr>
          <w:rFonts w:ascii="Times New Roman" w:eastAsia="Times New Roman" w:hAnsi="Times New Roman" w:cs="Times New Roman"/>
          <w:color w:val="000000" w:themeColor="text1"/>
          <w:sz w:val="24"/>
          <w:szCs w:val="24"/>
          <w:lang w:eastAsia="fr-FR"/>
        </w:rPr>
        <w:t>L. 761-1 du code de justice administrative.</w:t>
      </w:r>
    </w:p>
    <w:p w14:paraId="542E97C3" w14:textId="77777777" w:rsidR="0049694A" w:rsidRPr="0049694A" w:rsidRDefault="0049694A" w:rsidP="0049694A">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1A80F58D" w14:textId="77777777" w:rsidR="0049694A" w:rsidRPr="0049694A" w:rsidRDefault="0049694A" w:rsidP="00E436D7">
      <w:pPr>
        <w:spacing w:after="0" w:line="240" w:lineRule="auto"/>
        <w:jc w:val="both"/>
        <w:rPr>
          <w:rFonts w:ascii="Times New Roman" w:eastAsia="Times New Roman" w:hAnsi="Times New Roman" w:cs="Times New Roman"/>
          <w:color w:val="000000" w:themeColor="text1"/>
          <w:sz w:val="24"/>
          <w:szCs w:val="24"/>
          <w:lang w:eastAsia="fr-FR"/>
        </w:rPr>
      </w:pPr>
      <w:r w:rsidRPr="0049694A">
        <w:rPr>
          <w:rFonts w:ascii="Times New Roman" w:eastAsia="Times New Roman" w:hAnsi="Times New Roman" w:cs="Times New Roman"/>
          <w:color w:val="000000" w:themeColor="text1"/>
          <w:sz w:val="24"/>
          <w:szCs w:val="24"/>
          <w:lang w:eastAsia="fr-FR"/>
        </w:rPr>
        <w:t xml:space="preserve">La société fait valoir : </w:t>
      </w:r>
    </w:p>
    <w:p w14:paraId="6058D04D" w14:textId="3E328608" w:rsidR="00E36FBC" w:rsidRDefault="0049694A" w:rsidP="00E36FBC">
      <w:pPr>
        <w:spacing w:after="0" w:line="240" w:lineRule="auto"/>
        <w:ind w:firstLine="851"/>
        <w:jc w:val="both"/>
        <w:rPr>
          <w:rFonts w:ascii="Times New Roman" w:eastAsia="Times New Roman" w:hAnsi="Times New Roman" w:cs="Times New Roman"/>
          <w:color w:val="000000" w:themeColor="text1"/>
          <w:sz w:val="24"/>
          <w:szCs w:val="24"/>
          <w:lang w:eastAsia="fr-FR"/>
        </w:rPr>
      </w:pPr>
      <w:r w:rsidRPr="0049694A">
        <w:rPr>
          <w:rFonts w:ascii="Times New Roman" w:eastAsia="Times New Roman" w:hAnsi="Times New Roman" w:cs="Times New Roman"/>
          <w:color w:val="000000" w:themeColor="text1"/>
          <w:sz w:val="24"/>
          <w:szCs w:val="24"/>
          <w:lang w:eastAsia="fr-FR"/>
        </w:rPr>
        <w:t xml:space="preserve">- à titre principal, que la requête est irrecevable dès lors que l’association </w:t>
      </w:r>
      <w:r w:rsidR="00E36FBC">
        <w:rPr>
          <w:rFonts w:ascii="Times New Roman" w:eastAsia="Times New Roman" w:hAnsi="Times New Roman" w:cs="Times New Roman"/>
          <w:color w:val="000000" w:themeColor="text1"/>
          <w:sz w:val="24"/>
          <w:szCs w:val="24"/>
          <w:lang w:eastAsia="fr-FR"/>
        </w:rPr>
        <w:t xml:space="preserve">requérante ne justifie </w:t>
      </w:r>
      <w:r w:rsidR="0030310E">
        <w:rPr>
          <w:rFonts w:ascii="Times New Roman" w:eastAsia="Times New Roman" w:hAnsi="Times New Roman" w:cs="Times New Roman"/>
          <w:color w:val="000000" w:themeColor="text1"/>
          <w:sz w:val="24"/>
          <w:szCs w:val="24"/>
          <w:lang w:eastAsia="fr-FR"/>
        </w:rPr>
        <w:t xml:space="preserve">pas </w:t>
      </w:r>
      <w:r w:rsidR="00E36FBC">
        <w:rPr>
          <w:rFonts w:ascii="Times New Roman" w:eastAsia="Times New Roman" w:hAnsi="Times New Roman" w:cs="Times New Roman"/>
          <w:color w:val="000000" w:themeColor="text1"/>
          <w:sz w:val="24"/>
          <w:szCs w:val="24"/>
          <w:lang w:eastAsia="fr-FR"/>
        </w:rPr>
        <w:t>d’un intérêt lui donnant qualité pour agir à l’encontre de l’arrêté attaqué du 1</w:t>
      </w:r>
      <w:r w:rsidR="00E36FBC" w:rsidRPr="00E36FBC">
        <w:rPr>
          <w:rFonts w:ascii="Times New Roman" w:eastAsia="Times New Roman" w:hAnsi="Times New Roman" w:cs="Times New Roman"/>
          <w:color w:val="000000" w:themeColor="text1"/>
          <w:sz w:val="24"/>
          <w:szCs w:val="24"/>
          <w:vertAlign w:val="superscript"/>
          <w:lang w:eastAsia="fr-FR"/>
        </w:rPr>
        <w:t>er</w:t>
      </w:r>
      <w:r w:rsidR="00E36FBC">
        <w:rPr>
          <w:rFonts w:ascii="Times New Roman" w:eastAsia="Times New Roman" w:hAnsi="Times New Roman" w:cs="Times New Roman"/>
          <w:color w:val="000000" w:themeColor="text1"/>
          <w:sz w:val="24"/>
          <w:szCs w:val="24"/>
          <w:lang w:eastAsia="fr-FR"/>
        </w:rPr>
        <w:t xml:space="preserve"> mars 2024 ;</w:t>
      </w:r>
    </w:p>
    <w:p w14:paraId="4A3C0F03" w14:textId="77777777" w:rsidR="0049694A" w:rsidRPr="0049694A" w:rsidRDefault="0049694A" w:rsidP="0049694A">
      <w:pPr>
        <w:spacing w:after="0" w:line="240" w:lineRule="auto"/>
        <w:ind w:firstLine="851"/>
        <w:jc w:val="both"/>
        <w:rPr>
          <w:rFonts w:ascii="Times New Roman" w:eastAsia="Times New Roman" w:hAnsi="Times New Roman" w:cs="Times New Roman"/>
          <w:color w:val="000000" w:themeColor="text1"/>
          <w:sz w:val="24"/>
          <w:szCs w:val="24"/>
          <w:lang w:eastAsia="fr-FR"/>
        </w:rPr>
      </w:pPr>
      <w:r w:rsidRPr="0049694A">
        <w:rPr>
          <w:rFonts w:ascii="Times New Roman" w:eastAsia="Times New Roman" w:hAnsi="Times New Roman" w:cs="Times New Roman"/>
          <w:color w:val="000000" w:themeColor="text1"/>
          <w:sz w:val="24"/>
          <w:szCs w:val="24"/>
          <w:lang w:eastAsia="fr-FR"/>
        </w:rPr>
        <w:t>- à titre subsidiaire, qu’aucun des moyens de la requête n’est fondé.</w:t>
      </w:r>
    </w:p>
    <w:p w14:paraId="7D18B549" w14:textId="77777777" w:rsidR="0049694A" w:rsidRPr="0049694A" w:rsidRDefault="0049694A" w:rsidP="0049694A">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37EFB17F" w14:textId="77777777" w:rsidR="0049694A" w:rsidRPr="0049694A" w:rsidRDefault="0049694A" w:rsidP="0049694A">
      <w:pPr>
        <w:spacing w:after="0" w:line="240" w:lineRule="auto"/>
        <w:ind w:firstLine="851"/>
        <w:jc w:val="both"/>
        <w:rPr>
          <w:rFonts w:ascii="Times New Roman" w:eastAsia="Times New Roman" w:hAnsi="Times New Roman" w:cs="Times New Roman"/>
          <w:color w:val="000000" w:themeColor="text1"/>
          <w:sz w:val="24"/>
          <w:szCs w:val="24"/>
          <w:lang w:eastAsia="fr-FR"/>
        </w:rPr>
      </w:pPr>
      <w:r w:rsidRPr="0049694A">
        <w:rPr>
          <w:rFonts w:ascii="Times New Roman" w:eastAsia="Times New Roman" w:hAnsi="Times New Roman" w:cs="Times New Roman"/>
          <w:color w:val="000000" w:themeColor="text1"/>
          <w:sz w:val="24"/>
          <w:szCs w:val="24"/>
          <w:lang w:eastAsia="fr-FR"/>
        </w:rPr>
        <w:t xml:space="preserve">La requête a été communiquée à la commune de Levens qui n’a pas produit d’observations. </w:t>
      </w:r>
    </w:p>
    <w:p w14:paraId="01793845" w14:textId="77777777" w:rsidR="0049694A" w:rsidRPr="0049694A" w:rsidRDefault="0049694A" w:rsidP="0049694A">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22706E75" w14:textId="77777777" w:rsidR="0049694A" w:rsidRPr="0049694A" w:rsidRDefault="0049694A" w:rsidP="0049694A">
      <w:pPr>
        <w:spacing w:after="0" w:line="240" w:lineRule="auto"/>
        <w:ind w:firstLine="851"/>
        <w:jc w:val="both"/>
        <w:rPr>
          <w:rFonts w:ascii="Times New Roman" w:eastAsia="Times New Roman" w:hAnsi="Times New Roman" w:cs="Times New Roman"/>
          <w:color w:val="000000" w:themeColor="text1"/>
          <w:sz w:val="24"/>
          <w:szCs w:val="24"/>
          <w:lang w:eastAsia="fr-FR"/>
        </w:rPr>
      </w:pPr>
      <w:r w:rsidRPr="0049694A">
        <w:rPr>
          <w:rFonts w:ascii="Times New Roman" w:eastAsia="Times New Roman" w:hAnsi="Times New Roman" w:cs="Times New Roman"/>
          <w:color w:val="000000" w:themeColor="text1"/>
          <w:sz w:val="24"/>
          <w:szCs w:val="24"/>
          <w:lang w:eastAsia="fr-FR"/>
        </w:rPr>
        <w:t xml:space="preserve"> Par une ordonnance à effet immédiat du 19 décembre 2024, la clôture de l’instruction a été prononcée à cette date.</w:t>
      </w:r>
    </w:p>
    <w:p w14:paraId="4E4A4B9B" w14:textId="77777777" w:rsidR="0049694A" w:rsidRPr="0049694A" w:rsidRDefault="0049694A" w:rsidP="00E36FBC">
      <w:pPr>
        <w:spacing w:after="0" w:line="240" w:lineRule="auto"/>
        <w:jc w:val="both"/>
        <w:rPr>
          <w:rFonts w:ascii="Times New Roman" w:eastAsia="Calibri" w:hAnsi="Times New Roman" w:cs="Times New Roman"/>
          <w:sz w:val="24"/>
          <w:szCs w:val="24"/>
        </w:rPr>
      </w:pPr>
    </w:p>
    <w:p w14:paraId="5B452433" w14:textId="77777777" w:rsidR="00C355DF" w:rsidRDefault="0049694A" w:rsidP="00C355DF">
      <w:pPr>
        <w:spacing w:after="0" w:line="240" w:lineRule="auto"/>
        <w:ind w:firstLine="851"/>
        <w:jc w:val="both"/>
        <w:rPr>
          <w:rFonts w:ascii="Times New Roman" w:eastAsia="Calibri" w:hAnsi="Times New Roman" w:cs="Times New Roman"/>
          <w:sz w:val="24"/>
          <w:szCs w:val="24"/>
        </w:rPr>
      </w:pPr>
      <w:r w:rsidRPr="00F74E6F">
        <w:rPr>
          <w:rFonts w:ascii="Times New Roman" w:eastAsia="Calibri" w:hAnsi="Times New Roman" w:cs="Times New Roman"/>
          <w:sz w:val="24"/>
          <w:szCs w:val="24"/>
        </w:rPr>
        <w:t xml:space="preserve">Par un courrier du </w:t>
      </w:r>
      <w:r w:rsidR="00F74E6F" w:rsidRPr="00F74E6F">
        <w:rPr>
          <w:rFonts w:ascii="Times New Roman" w:eastAsia="Calibri" w:hAnsi="Times New Roman" w:cs="Times New Roman"/>
          <w:sz w:val="24"/>
          <w:szCs w:val="24"/>
        </w:rPr>
        <w:t>29</w:t>
      </w:r>
      <w:r w:rsidR="00E36FBC" w:rsidRPr="00F74E6F">
        <w:rPr>
          <w:rFonts w:ascii="Times New Roman" w:eastAsia="Calibri" w:hAnsi="Times New Roman" w:cs="Times New Roman"/>
          <w:sz w:val="24"/>
          <w:szCs w:val="24"/>
        </w:rPr>
        <w:t xml:space="preserve"> janvier 2025</w:t>
      </w:r>
      <w:r w:rsidRPr="00F74E6F">
        <w:rPr>
          <w:rFonts w:ascii="Times New Roman" w:eastAsia="Calibri" w:hAnsi="Times New Roman" w:cs="Times New Roman"/>
          <w:sz w:val="24"/>
          <w:szCs w:val="24"/>
        </w:rPr>
        <w:t xml:space="preserve">, les parties ont été invitées à présenter leurs observations sur la possibilité pour le tribunal de surseoir à statuer sur la requête, en application de l’article L. 600-5-1 du code de l’urbanisme, afin de permettre la délivrance éventuelle d’une </w:t>
      </w:r>
      <w:r w:rsidRPr="00F74E6F">
        <w:rPr>
          <w:rFonts w:ascii="Times New Roman" w:eastAsia="Calibri" w:hAnsi="Times New Roman" w:cs="Times New Roman"/>
          <w:sz w:val="24"/>
          <w:szCs w:val="24"/>
        </w:rPr>
        <w:lastRenderedPageBreak/>
        <w:t xml:space="preserve">mesure visant à régulariser le vice tiré de ce que l’étude d’impact ne décrit pas suffisamment </w:t>
      </w:r>
      <w:r w:rsidR="00F74E6F" w:rsidRPr="00F74E6F">
        <w:rPr>
          <w:rFonts w:ascii="Times New Roman" w:eastAsia="Calibri" w:hAnsi="Times New Roman" w:cs="Times New Roman"/>
          <w:sz w:val="24"/>
          <w:szCs w:val="24"/>
        </w:rPr>
        <w:t>la réalité de la fonctionnalité écologique du secteur d’implantation du projet litigieux ni les incidences que ce projet est susceptible d’avoir sur cette fonctionnalité écologique, en méconnaissance des dispositions des 3° et 5° de l’article R. 122-5 du code de l’environnement.</w:t>
      </w:r>
    </w:p>
    <w:p w14:paraId="2B797786" w14:textId="77777777" w:rsidR="00C355DF" w:rsidRDefault="00C355DF" w:rsidP="00C355DF">
      <w:pPr>
        <w:spacing w:after="0" w:line="240" w:lineRule="auto"/>
        <w:ind w:firstLine="851"/>
        <w:jc w:val="both"/>
        <w:rPr>
          <w:rFonts w:ascii="Times New Roman" w:eastAsia="Calibri" w:hAnsi="Times New Roman" w:cs="Times New Roman"/>
          <w:sz w:val="24"/>
          <w:szCs w:val="24"/>
        </w:rPr>
      </w:pPr>
    </w:p>
    <w:p w14:paraId="07E1B3FF" w14:textId="1A4DE12C" w:rsidR="0049694A" w:rsidRDefault="00C355DF" w:rsidP="00C355DF">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L</w:t>
      </w:r>
      <w:r w:rsidRPr="00C355DF">
        <w:rPr>
          <w:rFonts w:ascii="Times New Roman" w:eastAsia="Calibri" w:hAnsi="Times New Roman" w:cs="Times New Roman"/>
          <w:sz w:val="24"/>
          <w:szCs w:val="24"/>
        </w:rPr>
        <w:t xml:space="preserve">a société monégasque de l’électricité et du gaz </w:t>
      </w:r>
      <w:r>
        <w:rPr>
          <w:rFonts w:ascii="Times New Roman" w:eastAsia="Calibri" w:hAnsi="Times New Roman" w:cs="Times New Roman"/>
          <w:sz w:val="24"/>
          <w:szCs w:val="24"/>
        </w:rPr>
        <w:t>a produit ses</w:t>
      </w:r>
      <w:r w:rsidRPr="00C355DF">
        <w:rPr>
          <w:rFonts w:ascii="Times New Roman" w:eastAsia="Calibri" w:hAnsi="Times New Roman" w:cs="Times New Roman"/>
          <w:sz w:val="24"/>
          <w:szCs w:val="24"/>
        </w:rPr>
        <w:t xml:space="preserve"> observations par </w:t>
      </w:r>
      <w:r>
        <w:rPr>
          <w:rFonts w:ascii="Times New Roman" w:eastAsia="Calibri" w:hAnsi="Times New Roman" w:cs="Times New Roman"/>
          <w:sz w:val="24"/>
          <w:szCs w:val="24"/>
        </w:rPr>
        <w:t>un mémoire enregistré</w:t>
      </w:r>
      <w:r w:rsidRPr="00C355DF">
        <w:rPr>
          <w:rFonts w:ascii="Times New Roman" w:eastAsia="Calibri" w:hAnsi="Times New Roman" w:cs="Times New Roman"/>
          <w:sz w:val="24"/>
          <w:szCs w:val="24"/>
        </w:rPr>
        <w:t xml:space="preserve"> le 3 février 2025.</w:t>
      </w:r>
    </w:p>
    <w:p w14:paraId="5013C509" w14:textId="77777777" w:rsidR="00C355DF" w:rsidRPr="00C355DF" w:rsidRDefault="00C355DF" w:rsidP="00C355DF">
      <w:pPr>
        <w:spacing w:after="0" w:line="240" w:lineRule="auto"/>
        <w:ind w:firstLine="851"/>
        <w:jc w:val="both"/>
        <w:rPr>
          <w:rFonts w:ascii="Times New Roman" w:eastAsia="Calibri" w:hAnsi="Times New Roman" w:cs="Times New Roman"/>
          <w:sz w:val="24"/>
          <w:szCs w:val="24"/>
        </w:rPr>
      </w:pPr>
    </w:p>
    <w:p w14:paraId="78C2EB6A" w14:textId="77777777" w:rsidR="0049694A" w:rsidRPr="0049694A" w:rsidRDefault="0049694A" w:rsidP="0049694A">
      <w:pPr>
        <w:spacing w:after="0" w:line="240" w:lineRule="auto"/>
        <w:ind w:firstLine="851"/>
        <w:jc w:val="both"/>
        <w:rPr>
          <w:rFonts w:ascii="Times New Roman" w:eastAsia="Times New Roman" w:hAnsi="Times New Roman" w:cs="Times New Roman"/>
          <w:color w:val="000000" w:themeColor="text1"/>
          <w:sz w:val="24"/>
          <w:szCs w:val="24"/>
          <w:lang w:eastAsia="fr-FR"/>
        </w:rPr>
      </w:pPr>
      <w:r w:rsidRPr="0049694A">
        <w:rPr>
          <w:rFonts w:ascii="Times New Roman" w:eastAsia="Times New Roman" w:hAnsi="Times New Roman" w:cs="Times New Roman"/>
          <w:color w:val="000000" w:themeColor="text1"/>
          <w:sz w:val="24"/>
          <w:szCs w:val="24"/>
          <w:lang w:eastAsia="fr-FR"/>
        </w:rPr>
        <w:t xml:space="preserve">Vu les autres pièces du dossier ; </w:t>
      </w:r>
    </w:p>
    <w:p w14:paraId="68CE4109" w14:textId="77777777" w:rsidR="0049694A" w:rsidRPr="0049694A" w:rsidRDefault="0049694A" w:rsidP="0049694A">
      <w:pPr>
        <w:spacing w:after="0" w:line="240" w:lineRule="auto"/>
        <w:ind w:firstLine="851"/>
        <w:jc w:val="both"/>
        <w:outlineLvl w:val="0"/>
        <w:rPr>
          <w:rFonts w:ascii="Times New Roman" w:eastAsia="Times New Roman" w:hAnsi="Times New Roman" w:cs="Times New Roman"/>
          <w:color w:val="000000" w:themeColor="text1"/>
          <w:sz w:val="24"/>
          <w:szCs w:val="24"/>
          <w:lang w:eastAsia="fr-FR"/>
        </w:rPr>
      </w:pPr>
    </w:p>
    <w:p w14:paraId="4BA1D61A" w14:textId="77777777" w:rsidR="0049694A" w:rsidRPr="0049694A" w:rsidRDefault="0049694A" w:rsidP="0049694A">
      <w:pPr>
        <w:spacing w:after="0" w:line="240" w:lineRule="auto"/>
        <w:ind w:firstLine="851"/>
        <w:jc w:val="both"/>
        <w:outlineLvl w:val="0"/>
        <w:rPr>
          <w:rFonts w:ascii="Times New Roman" w:eastAsia="Times New Roman" w:hAnsi="Times New Roman" w:cs="Times New Roman"/>
          <w:color w:val="000000" w:themeColor="text1"/>
          <w:sz w:val="24"/>
          <w:szCs w:val="24"/>
          <w:lang w:eastAsia="fr-FR"/>
        </w:rPr>
      </w:pPr>
      <w:r w:rsidRPr="0049694A">
        <w:rPr>
          <w:rFonts w:ascii="Times New Roman" w:eastAsia="Times New Roman" w:hAnsi="Times New Roman" w:cs="Times New Roman"/>
          <w:color w:val="000000" w:themeColor="text1"/>
          <w:sz w:val="24"/>
          <w:szCs w:val="24"/>
          <w:lang w:eastAsia="fr-FR"/>
        </w:rPr>
        <w:t>Vu :</w:t>
      </w:r>
    </w:p>
    <w:p w14:paraId="1A9F8980" w14:textId="246259B8" w:rsidR="0049694A" w:rsidRPr="0051149B" w:rsidRDefault="0051149B" w:rsidP="0049694A">
      <w:pPr>
        <w:spacing w:after="0" w:line="240" w:lineRule="auto"/>
        <w:ind w:firstLine="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le code de l’environnement ;</w:t>
      </w:r>
    </w:p>
    <w:p w14:paraId="19D93C5F" w14:textId="77777777" w:rsidR="0049694A" w:rsidRPr="0051149B" w:rsidRDefault="0049694A" w:rsidP="0049694A">
      <w:pPr>
        <w:spacing w:after="0" w:line="240" w:lineRule="auto"/>
        <w:ind w:firstLine="851"/>
        <w:jc w:val="both"/>
        <w:rPr>
          <w:rFonts w:ascii="Times New Roman" w:eastAsia="Times New Roman" w:hAnsi="Times New Roman" w:cs="Times New Roman"/>
          <w:sz w:val="24"/>
          <w:szCs w:val="24"/>
          <w:lang w:eastAsia="fr-FR"/>
        </w:rPr>
      </w:pPr>
      <w:r w:rsidRPr="0051149B">
        <w:rPr>
          <w:rFonts w:ascii="Times New Roman" w:eastAsia="Times New Roman" w:hAnsi="Times New Roman" w:cs="Times New Roman"/>
          <w:sz w:val="24"/>
          <w:szCs w:val="24"/>
          <w:lang w:eastAsia="fr-FR"/>
        </w:rPr>
        <w:t xml:space="preserve">- le code de l’urbanisme ; </w:t>
      </w:r>
    </w:p>
    <w:p w14:paraId="3DEDC714" w14:textId="77777777" w:rsidR="0049694A" w:rsidRPr="0051149B" w:rsidRDefault="0049694A" w:rsidP="0049694A">
      <w:pPr>
        <w:spacing w:after="0" w:line="240" w:lineRule="auto"/>
        <w:ind w:firstLine="851"/>
        <w:jc w:val="both"/>
        <w:rPr>
          <w:rFonts w:ascii="Times New Roman" w:eastAsia="Times New Roman" w:hAnsi="Times New Roman" w:cs="Times New Roman"/>
          <w:sz w:val="24"/>
          <w:szCs w:val="24"/>
          <w:lang w:eastAsia="fr-FR"/>
        </w:rPr>
      </w:pPr>
      <w:r w:rsidRPr="0051149B">
        <w:rPr>
          <w:rFonts w:ascii="Times New Roman" w:eastAsia="Times New Roman" w:hAnsi="Times New Roman" w:cs="Times New Roman"/>
          <w:sz w:val="24"/>
          <w:szCs w:val="24"/>
          <w:lang w:eastAsia="fr-FR"/>
        </w:rPr>
        <w:t>- le décret n° 2003-1169 du 2 décembre 2003 ;</w:t>
      </w:r>
    </w:p>
    <w:p w14:paraId="65FB1771" w14:textId="77777777" w:rsidR="0049694A" w:rsidRPr="0051149B" w:rsidRDefault="0049694A" w:rsidP="0049694A">
      <w:pPr>
        <w:spacing w:after="0" w:line="240" w:lineRule="auto"/>
        <w:ind w:firstLine="851"/>
        <w:jc w:val="both"/>
        <w:rPr>
          <w:rFonts w:ascii="Times New Roman" w:eastAsia="Times New Roman" w:hAnsi="Times New Roman" w:cs="Times New Roman"/>
          <w:sz w:val="24"/>
          <w:szCs w:val="24"/>
          <w:lang w:eastAsia="fr-FR"/>
        </w:rPr>
      </w:pPr>
      <w:r w:rsidRPr="0051149B">
        <w:rPr>
          <w:rFonts w:ascii="Times New Roman" w:eastAsia="Times New Roman" w:hAnsi="Times New Roman" w:cs="Times New Roman"/>
          <w:sz w:val="24"/>
          <w:szCs w:val="24"/>
          <w:lang w:eastAsia="fr-FR"/>
        </w:rPr>
        <w:t>- le décret n° 2004-374 du 29 avril 2004 ;</w:t>
      </w:r>
    </w:p>
    <w:p w14:paraId="6CBF2756" w14:textId="77777777" w:rsidR="0049694A" w:rsidRPr="0051149B" w:rsidRDefault="0049694A" w:rsidP="0049694A">
      <w:pPr>
        <w:spacing w:after="0" w:line="240" w:lineRule="auto"/>
        <w:ind w:firstLine="851"/>
        <w:jc w:val="both"/>
        <w:rPr>
          <w:rFonts w:ascii="Times New Roman" w:eastAsia="Times New Roman" w:hAnsi="Times New Roman" w:cs="Times New Roman"/>
          <w:sz w:val="24"/>
          <w:szCs w:val="24"/>
          <w:lang w:eastAsia="fr-FR"/>
        </w:rPr>
      </w:pPr>
      <w:r w:rsidRPr="0051149B">
        <w:rPr>
          <w:rFonts w:ascii="Times New Roman" w:eastAsia="Times New Roman" w:hAnsi="Times New Roman" w:cs="Times New Roman"/>
          <w:sz w:val="24"/>
          <w:szCs w:val="24"/>
          <w:lang w:eastAsia="fr-FR"/>
        </w:rPr>
        <w:t xml:space="preserve">- l’arrêté du 19 février 2007 fixant les conditions de demande et d'instruction des dérogations définies au 4° de l'article L. 411-2 du code de l'environnement portant sur des espèces de faune et de flore sauvages protégées ; </w:t>
      </w:r>
    </w:p>
    <w:p w14:paraId="7C54ED8C" w14:textId="77777777" w:rsidR="0049694A" w:rsidRPr="0049694A" w:rsidRDefault="0049694A" w:rsidP="0049694A">
      <w:pPr>
        <w:spacing w:after="0" w:line="240" w:lineRule="auto"/>
        <w:ind w:firstLine="851"/>
        <w:jc w:val="both"/>
        <w:rPr>
          <w:rFonts w:ascii="Times New Roman" w:eastAsia="Times New Roman" w:hAnsi="Times New Roman" w:cs="Times New Roman"/>
          <w:sz w:val="24"/>
          <w:szCs w:val="24"/>
          <w:lang w:eastAsia="fr-FR"/>
        </w:rPr>
      </w:pPr>
      <w:r w:rsidRPr="0051149B">
        <w:rPr>
          <w:rFonts w:ascii="Times New Roman" w:eastAsia="Times New Roman" w:hAnsi="Times New Roman" w:cs="Times New Roman"/>
          <w:sz w:val="24"/>
          <w:szCs w:val="24"/>
          <w:lang w:eastAsia="fr-FR"/>
        </w:rPr>
        <w:t>- le code de justice administrative.</w:t>
      </w:r>
    </w:p>
    <w:p w14:paraId="612A15DC" w14:textId="77777777" w:rsidR="0049694A" w:rsidRPr="0049694A" w:rsidRDefault="0049694A" w:rsidP="0049694A">
      <w:pPr>
        <w:spacing w:after="0" w:line="240" w:lineRule="auto"/>
        <w:jc w:val="both"/>
        <w:rPr>
          <w:rFonts w:ascii="Times New Roman" w:eastAsia="Times New Roman" w:hAnsi="Times New Roman" w:cs="Times New Roman"/>
          <w:color w:val="000000" w:themeColor="text1"/>
          <w:sz w:val="24"/>
          <w:szCs w:val="24"/>
          <w:lang w:eastAsia="fr-FR"/>
        </w:rPr>
      </w:pPr>
    </w:p>
    <w:p w14:paraId="26957875" w14:textId="77777777" w:rsidR="0049694A" w:rsidRPr="0049694A" w:rsidRDefault="0049694A" w:rsidP="0049694A">
      <w:pPr>
        <w:spacing w:after="0" w:line="240" w:lineRule="auto"/>
        <w:ind w:firstLine="851"/>
        <w:outlineLvl w:val="0"/>
        <w:rPr>
          <w:rFonts w:ascii="Times New Roman" w:eastAsia="Times New Roman" w:hAnsi="Times New Roman" w:cs="Times New Roman"/>
          <w:color w:val="000000" w:themeColor="text1"/>
          <w:sz w:val="24"/>
          <w:szCs w:val="24"/>
          <w:lang w:eastAsia="fr-FR"/>
        </w:rPr>
      </w:pPr>
      <w:r w:rsidRPr="0049694A">
        <w:rPr>
          <w:rFonts w:ascii="Times New Roman" w:eastAsia="Times New Roman" w:hAnsi="Times New Roman" w:cs="Times New Roman"/>
          <w:color w:val="000000" w:themeColor="text1"/>
          <w:sz w:val="24"/>
          <w:szCs w:val="24"/>
          <w:lang w:eastAsia="fr-FR"/>
        </w:rPr>
        <w:t>Les parties ont été régulièrement averties du jour de l’audience.</w:t>
      </w:r>
    </w:p>
    <w:p w14:paraId="4F3AEAAF" w14:textId="77777777" w:rsidR="0049694A" w:rsidRPr="0049694A" w:rsidRDefault="0049694A" w:rsidP="0049694A">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224A0EAC" w14:textId="77777777" w:rsidR="0049694A" w:rsidRPr="0051149B" w:rsidRDefault="0049694A" w:rsidP="0049694A">
      <w:pPr>
        <w:spacing w:after="0" w:line="240" w:lineRule="auto"/>
        <w:ind w:firstLine="851"/>
        <w:jc w:val="both"/>
        <w:outlineLvl w:val="0"/>
        <w:rPr>
          <w:rFonts w:ascii="Times New Roman" w:eastAsia="Times New Roman" w:hAnsi="Times New Roman" w:cs="Times New Roman"/>
          <w:color w:val="000000" w:themeColor="text1"/>
          <w:sz w:val="24"/>
          <w:szCs w:val="24"/>
          <w:lang w:eastAsia="fr-FR"/>
        </w:rPr>
      </w:pPr>
      <w:r w:rsidRPr="0051149B">
        <w:rPr>
          <w:rFonts w:ascii="Times New Roman" w:eastAsia="Times New Roman" w:hAnsi="Times New Roman" w:cs="Times New Roman"/>
          <w:color w:val="000000" w:themeColor="text1"/>
          <w:sz w:val="24"/>
          <w:szCs w:val="24"/>
          <w:lang w:eastAsia="fr-FR"/>
        </w:rPr>
        <w:t xml:space="preserve">Ont été entendus au cours de l’audience publique du 6 février 2025 : </w:t>
      </w:r>
    </w:p>
    <w:p w14:paraId="0E21A0D3" w14:textId="77777777" w:rsidR="0049694A" w:rsidRPr="0051149B" w:rsidRDefault="0049694A" w:rsidP="0049694A">
      <w:pPr>
        <w:spacing w:after="0" w:line="240" w:lineRule="auto"/>
        <w:ind w:firstLine="851"/>
        <w:jc w:val="both"/>
        <w:rPr>
          <w:rFonts w:ascii="Times New Roman" w:eastAsia="Times New Roman" w:hAnsi="Times New Roman" w:cs="Times New Roman"/>
          <w:color w:val="000000" w:themeColor="text1"/>
          <w:sz w:val="24"/>
          <w:szCs w:val="24"/>
          <w:lang w:eastAsia="fr-FR"/>
        </w:rPr>
      </w:pPr>
      <w:r w:rsidRPr="0051149B">
        <w:rPr>
          <w:rFonts w:ascii="Times New Roman" w:eastAsia="Times New Roman" w:hAnsi="Times New Roman" w:cs="Times New Roman"/>
          <w:color w:val="000000" w:themeColor="text1"/>
          <w:sz w:val="24"/>
          <w:szCs w:val="24"/>
          <w:lang w:eastAsia="fr-FR"/>
        </w:rPr>
        <w:t xml:space="preserve">- le rapport de M. </w:t>
      </w:r>
      <w:proofErr w:type="spellStart"/>
      <w:r w:rsidRPr="0051149B">
        <w:rPr>
          <w:rFonts w:ascii="Times New Roman" w:eastAsia="Times New Roman" w:hAnsi="Times New Roman" w:cs="Times New Roman"/>
          <w:color w:val="000000" w:themeColor="text1"/>
          <w:sz w:val="24"/>
          <w:szCs w:val="24"/>
          <w:lang w:eastAsia="fr-FR"/>
        </w:rPr>
        <w:t>Silvestre-Toussaint-Fortesa</w:t>
      </w:r>
      <w:proofErr w:type="spellEnd"/>
      <w:r w:rsidRPr="0051149B">
        <w:rPr>
          <w:rFonts w:ascii="Times New Roman" w:eastAsia="Times New Roman" w:hAnsi="Times New Roman" w:cs="Times New Roman"/>
          <w:color w:val="000000" w:themeColor="text1"/>
          <w:sz w:val="24"/>
          <w:szCs w:val="24"/>
          <w:lang w:eastAsia="fr-FR"/>
        </w:rPr>
        <w:t>, président ;</w:t>
      </w:r>
    </w:p>
    <w:p w14:paraId="3B2364F1" w14:textId="77777777" w:rsidR="0049694A" w:rsidRPr="0051149B" w:rsidRDefault="0049694A" w:rsidP="0049694A">
      <w:pPr>
        <w:spacing w:after="0" w:line="240" w:lineRule="auto"/>
        <w:ind w:firstLine="851"/>
        <w:jc w:val="both"/>
        <w:rPr>
          <w:rFonts w:ascii="Times New Roman" w:eastAsia="Times New Roman" w:hAnsi="Times New Roman" w:cs="Times New Roman"/>
          <w:color w:val="000000" w:themeColor="text1"/>
          <w:sz w:val="24"/>
          <w:szCs w:val="24"/>
          <w:lang w:eastAsia="fr-FR"/>
        </w:rPr>
      </w:pPr>
      <w:r w:rsidRPr="0051149B">
        <w:rPr>
          <w:rFonts w:ascii="Times New Roman" w:eastAsia="Times New Roman" w:hAnsi="Times New Roman" w:cs="Times New Roman"/>
          <w:color w:val="000000" w:themeColor="text1"/>
          <w:sz w:val="24"/>
          <w:szCs w:val="24"/>
          <w:lang w:eastAsia="fr-FR"/>
        </w:rPr>
        <w:t xml:space="preserve">- les conclusions de M. Holzer, rapporteur public, </w:t>
      </w:r>
    </w:p>
    <w:p w14:paraId="36B01D69" w14:textId="1A44AB22" w:rsidR="0051149B" w:rsidRPr="0051149B" w:rsidRDefault="0049694A" w:rsidP="0051149B">
      <w:pPr>
        <w:spacing w:after="0" w:line="240" w:lineRule="auto"/>
        <w:ind w:firstLine="851"/>
        <w:jc w:val="both"/>
        <w:rPr>
          <w:rFonts w:ascii="Times New Roman" w:eastAsia="Times New Roman" w:hAnsi="Times New Roman" w:cs="Times New Roman"/>
          <w:color w:val="000000" w:themeColor="text1"/>
          <w:sz w:val="24"/>
          <w:szCs w:val="24"/>
          <w:lang w:eastAsia="fr-FR"/>
        </w:rPr>
      </w:pPr>
      <w:r w:rsidRPr="0051149B">
        <w:rPr>
          <w:rFonts w:ascii="Times New Roman" w:eastAsia="Times New Roman" w:hAnsi="Times New Roman" w:cs="Times New Roman"/>
          <w:color w:val="000000" w:themeColor="text1"/>
          <w:sz w:val="24"/>
          <w:szCs w:val="24"/>
          <w:lang w:eastAsia="fr-FR"/>
        </w:rPr>
        <w:t xml:space="preserve">- </w:t>
      </w:r>
      <w:r w:rsidR="0051149B" w:rsidRPr="0051149B">
        <w:rPr>
          <w:rFonts w:ascii="Times New Roman" w:eastAsia="Times New Roman" w:hAnsi="Times New Roman" w:cs="Times New Roman"/>
          <w:color w:val="000000" w:themeColor="text1"/>
          <w:sz w:val="24"/>
          <w:szCs w:val="24"/>
          <w:lang w:eastAsia="fr-FR"/>
        </w:rPr>
        <w:t xml:space="preserve">les observations de Me </w:t>
      </w:r>
      <w:r w:rsidR="0051149B">
        <w:rPr>
          <w:rFonts w:ascii="Times New Roman" w:eastAsia="Times New Roman" w:hAnsi="Times New Roman" w:cs="Times New Roman"/>
          <w:color w:val="000000" w:themeColor="text1"/>
          <w:sz w:val="24"/>
          <w:szCs w:val="24"/>
          <w:lang w:eastAsia="fr-FR"/>
        </w:rPr>
        <w:t>Victoria</w:t>
      </w:r>
      <w:r w:rsidR="0051149B" w:rsidRPr="0051149B">
        <w:rPr>
          <w:rFonts w:ascii="Times New Roman" w:eastAsia="Times New Roman" w:hAnsi="Times New Roman" w:cs="Times New Roman"/>
          <w:color w:val="000000" w:themeColor="text1"/>
          <w:sz w:val="24"/>
          <w:szCs w:val="24"/>
          <w:lang w:eastAsia="fr-FR"/>
        </w:rPr>
        <w:t xml:space="preserve">, représentant </w:t>
      </w:r>
      <w:r w:rsidR="0051149B">
        <w:rPr>
          <w:rFonts w:ascii="Times New Roman" w:eastAsia="Times New Roman" w:hAnsi="Times New Roman" w:cs="Times New Roman"/>
          <w:color w:val="000000" w:themeColor="text1"/>
          <w:sz w:val="24"/>
          <w:szCs w:val="24"/>
          <w:lang w:eastAsia="fr-FR"/>
        </w:rPr>
        <w:t>l’association requérante,</w:t>
      </w:r>
    </w:p>
    <w:p w14:paraId="1D651997" w14:textId="77777777" w:rsidR="0051149B" w:rsidRPr="0051149B" w:rsidRDefault="0051149B" w:rsidP="0051149B">
      <w:pPr>
        <w:spacing w:after="0" w:line="240" w:lineRule="auto"/>
        <w:ind w:firstLine="851"/>
        <w:jc w:val="both"/>
        <w:rPr>
          <w:rFonts w:ascii="Times New Roman" w:eastAsia="Times New Roman" w:hAnsi="Times New Roman" w:cs="Times New Roman"/>
          <w:color w:val="000000" w:themeColor="text1"/>
          <w:sz w:val="24"/>
          <w:szCs w:val="24"/>
          <w:lang w:eastAsia="fr-FR"/>
        </w:rPr>
      </w:pPr>
      <w:r w:rsidRPr="0051149B">
        <w:rPr>
          <w:rFonts w:ascii="Times New Roman" w:eastAsia="Times New Roman" w:hAnsi="Times New Roman" w:cs="Times New Roman"/>
          <w:color w:val="000000" w:themeColor="text1"/>
          <w:sz w:val="24"/>
          <w:szCs w:val="24"/>
          <w:lang w:eastAsia="fr-FR"/>
        </w:rPr>
        <w:t xml:space="preserve">- les observations de Me </w:t>
      </w:r>
      <w:proofErr w:type="spellStart"/>
      <w:r w:rsidRPr="0051149B">
        <w:rPr>
          <w:rFonts w:ascii="Times New Roman" w:eastAsia="Times New Roman" w:hAnsi="Times New Roman" w:cs="Times New Roman"/>
          <w:color w:val="000000" w:themeColor="text1"/>
          <w:sz w:val="24"/>
          <w:szCs w:val="24"/>
          <w:lang w:eastAsia="fr-FR"/>
        </w:rPr>
        <w:t>Molinié</w:t>
      </w:r>
      <w:proofErr w:type="spellEnd"/>
      <w:r w:rsidRPr="0051149B">
        <w:rPr>
          <w:rFonts w:ascii="Times New Roman" w:eastAsia="Times New Roman" w:hAnsi="Times New Roman" w:cs="Times New Roman"/>
          <w:color w:val="000000" w:themeColor="text1"/>
          <w:sz w:val="24"/>
          <w:szCs w:val="24"/>
          <w:lang w:eastAsia="fr-FR"/>
        </w:rPr>
        <w:t>, représentant la société monégasque de l’électricité et du gaz,</w:t>
      </w:r>
    </w:p>
    <w:p w14:paraId="4A938488" w14:textId="2E3F54BB" w:rsidR="0051149B" w:rsidRPr="0051149B" w:rsidRDefault="00E436D7" w:rsidP="0051149B">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et les observations de Mme </w:t>
      </w:r>
      <w:proofErr w:type="spellStart"/>
      <w:r>
        <w:rPr>
          <w:rFonts w:ascii="Times New Roman" w:eastAsia="Times New Roman" w:hAnsi="Times New Roman" w:cs="Times New Roman"/>
          <w:color w:val="000000" w:themeColor="text1"/>
          <w:sz w:val="24"/>
          <w:szCs w:val="24"/>
          <w:lang w:eastAsia="fr-FR"/>
        </w:rPr>
        <w:t>Lâm</w:t>
      </w:r>
      <w:proofErr w:type="spellEnd"/>
      <w:r>
        <w:rPr>
          <w:rFonts w:ascii="Times New Roman" w:eastAsia="Times New Roman" w:hAnsi="Times New Roman" w:cs="Times New Roman"/>
          <w:color w:val="000000" w:themeColor="text1"/>
          <w:sz w:val="24"/>
          <w:szCs w:val="24"/>
          <w:lang w:eastAsia="fr-FR"/>
        </w:rPr>
        <w:t>,</w:t>
      </w:r>
      <w:r w:rsidR="0051149B" w:rsidRPr="0051149B">
        <w:rPr>
          <w:rFonts w:ascii="Times New Roman" w:eastAsia="Times New Roman" w:hAnsi="Times New Roman" w:cs="Times New Roman"/>
          <w:color w:val="000000" w:themeColor="text1"/>
          <w:sz w:val="24"/>
          <w:szCs w:val="24"/>
          <w:lang w:eastAsia="fr-FR"/>
        </w:rPr>
        <w:t xml:space="preserve"> représentant </w:t>
      </w:r>
      <w:r>
        <w:rPr>
          <w:rFonts w:ascii="Times New Roman" w:eastAsia="Times New Roman" w:hAnsi="Times New Roman" w:cs="Times New Roman"/>
          <w:color w:val="000000" w:themeColor="text1"/>
          <w:sz w:val="24"/>
          <w:szCs w:val="24"/>
          <w:lang w:eastAsia="fr-FR"/>
        </w:rPr>
        <w:t>le préfet</w:t>
      </w:r>
      <w:r w:rsidR="0051149B" w:rsidRPr="0051149B">
        <w:rPr>
          <w:rFonts w:ascii="Times New Roman" w:eastAsia="Times New Roman" w:hAnsi="Times New Roman" w:cs="Times New Roman"/>
          <w:color w:val="000000" w:themeColor="text1"/>
          <w:sz w:val="24"/>
          <w:szCs w:val="24"/>
          <w:lang w:eastAsia="fr-FR"/>
        </w:rPr>
        <w:t xml:space="preserve"> des Alpes-Maritimes. </w:t>
      </w:r>
    </w:p>
    <w:p w14:paraId="093BB1B3" w14:textId="1B7AF0A2" w:rsidR="0049694A" w:rsidRDefault="0049694A" w:rsidP="0051149B">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11D91F3F" w14:textId="6EE1FC6B" w:rsidR="00435677" w:rsidRDefault="00435677" w:rsidP="0049694A">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Une note en délibéré présentée pour la délégation de la région </w:t>
      </w:r>
      <w:r w:rsidRPr="00E36FBC">
        <w:rPr>
          <w:rFonts w:ascii="Times New Roman" w:eastAsia="Times New Roman" w:hAnsi="Times New Roman" w:cs="Times New Roman"/>
          <w:color w:val="000000" w:themeColor="text1"/>
          <w:sz w:val="24"/>
          <w:szCs w:val="24"/>
          <w:lang w:eastAsia="fr-FR"/>
        </w:rPr>
        <w:t>Provence-Alpes-Côte d’Azur</w:t>
      </w:r>
      <w:r>
        <w:rPr>
          <w:rFonts w:ascii="Times New Roman" w:eastAsia="Times New Roman" w:hAnsi="Times New Roman" w:cs="Times New Roman"/>
          <w:color w:val="000000" w:themeColor="text1"/>
          <w:sz w:val="24"/>
          <w:szCs w:val="24"/>
          <w:lang w:eastAsia="fr-FR"/>
        </w:rPr>
        <w:t xml:space="preserve"> de la ligue pour la protection des oiseaux a été enregistrée le 18 février 2025.</w:t>
      </w:r>
    </w:p>
    <w:p w14:paraId="2E698EF9" w14:textId="77777777" w:rsidR="00435677" w:rsidRDefault="00435677" w:rsidP="0049694A">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521CDA05" w14:textId="51907872" w:rsidR="0049694A" w:rsidRPr="0049694A" w:rsidRDefault="00435677" w:rsidP="0049694A">
      <w:pPr>
        <w:spacing w:after="0" w:line="240" w:lineRule="auto"/>
        <w:ind w:firstLine="851"/>
        <w:jc w:val="both"/>
        <w:rPr>
          <w:rFonts w:ascii="Times New Roman" w:eastAsia="Times New Roman" w:hAnsi="Times New Roman" w:cs="Times New Roman"/>
          <w:color w:val="000000" w:themeColor="text1"/>
          <w:sz w:val="24"/>
          <w:szCs w:val="24"/>
          <w:lang w:eastAsia="fr-FR"/>
        </w:rPr>
      </w:pPr>
      <w:r w:rsidRPr="0049694A">
        <w:rPr>
          <w:rFonts w:ascii="Times New Roman" w:eastAsia="Times New Roman" w:hAnsi="Times New Roman" w:cs="Times New Roman"/>
          <w:color w:val="000000" w:themeColor="text1"/>
          <w:sz w:val="24"/>
          <w:szCs w:val="24"/>
          <w:lang w:eastAsia="fr-FR"/>
        </w:rPr>
        <w:t xml:space="preserve"> </w:t>
      </w:r>
      <w:r w:rsidR="0049694A" w:rsidRPr="0049694A">
        <w:rPr>
          <w:rFonts w:ascii="Times New Roman" w:eastAsia="Times New Roman" w:hAnsi="Times New Roman" w:cs="Times New Roman"/>
          <w:color w:val="000000" w:themeColor="text1"/>
          <w:sz w:val="24"/>
          <w:szCs w:val="24"/>
          <w:lang w:eastAsia="fr-FR"/>
        </w:rPr>
        <w:t>Considérant ce qui suit :</w:t>
      </w:r>
    </w:p>
    <w:p w14:paraId="37E4E249" w14:textId="77777777" w:rsidR="0049694A" w:rsidRPr="0049694A" w:rsidRDefault="0049694A" w:rsidP="0049694A">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62C9D6A5" w14:textId="4C3505D7" w:rsidR="0049694A" w:rsidRDefault="0049694A" w:rsidP="00E36FBC">
      <w:pPr>
        <w:spacing w:after="0" w:line="240" w:lineRule="auto"/>
        <w:ind w:firstLine="851"/>
        <w:jc w:val="both"/>
        <w:rPr>
          <w:rFonts w:ascii="Times New Roman" w:eastAsia="Times New Roman" w:hAnsi="Times New Roman" w:cs="Times New Roman"/>
          <w:color w:val="000000" w:themeColor="text1"/>
          <w:sz w:val="24"/>
          <w:szCs w:val="24"/>
          <w:lang w:eastAsia="fr-FR"/>
        </w:rPr>
      </w:pPr>
      <w:r w:rsidRPr="0049694A">
        <w:rPr>
          <w:rFonts w:ascii="Times New Roman" w:eastAsia="Times New Roman" w:hAnsi="Times New Roman" w:cs="Times New Roman"/>
          <w:color w:val="000000" w:themeColor="text1"/>
          <w:sz w:val="24"/>
          <w:szCs w:val="24"/>
          <w:lang w:eastAsia="fr-FR"/>
        </w:rPr>
        <w:t>1. Par un arrêté du 1</w:t>
      </w:r>
      <w:r w:rsidRPr="0049694A">
        <w:rPr>
          <w:rFonts w:ascii="Times New Roman" w:eastAsia="Times New Roman" w:hAnsi="Times New Roman" w:cs="Times New Roman"/>
          <w:color w:val="000000" w:themeColor="text1"/>
          <w:sz w:val="24"/>
          <w:szCs w:val="24"/>
          <w:vertAlign w:val="superscript"/>
          <w:lang w:eastAsia="fr-FR"/>
        </w:rPr>
        <w:t>er</w:t>
      </w:r>
      <w:r w:rsidRPr="0049694A">
        <w:rPr>
          <w:rFonts w:ascii="Times New Roman" w:eastAsia="Times New Roman" w:hAnsi="Times New Roman" w:cs="Times New Roman"/>
          <w:color w:val="000000" w:themeColor="text1"/>
          <w:sz w:val="24"/>
          <w:szCs w:val="24"/>
          <w:lang w:eastAsia="fr-FR"/>
        </w:rPr>
        <w:t xml:space="preserve"> mars 2024, le préfet des Alpes-Maritimes a délivré à la société monégasque de l’électricité et du gaz (ci-après, « SMEG ») un permis de construire portant sur la réalisation d’un parc photovoltaïque de 11,7 hectares sur les parcelles cadastrées section E </w:t>
      </w:r>
      <w:proofErr w:type="spellStart"/>
      <w:r w:rsidRPr="0049694A">
        <w:rPr>
          <w:rFonts w:ascii="Times New Roman" w:eastAsia="Times New Roman" w:hAnsi="Times New Roman" w:cs="Times New Roman"/>
          <w:color w:val="000000" w:themeColor="text1"/>
          <w:sz w:val="24"/>
          <w:szCs w:val="24"/>
          <w:lang w:eastAsia="fr-FR"/>
        </w:rPr>
        <w:t>n°</w:t>
      </w:r>
      <w:r w:rsidRPr="0049694A">
        <w:rPr>
          <w:rFonts w:ascii="Times New Roman" w:eastAsia="Times New Roman" w:hAnsi="Times New Roman" w:cs="Times New Roman"/>
          <w:color w:val="000000" w:themeColor="text1"/>
          <w:sz w:val="24"/>
          <w:szCs w:val="24"/>
          <w:vertAlign w:val="superscript"/>
          <w:lang w:eastAsia="fr-FR"/>
        </w:rPr>
        <w:t>s</w:t>
      </w:r>
      <w:proofErr w:type="spellEnd"/>
      <w:r w:rsidRPr="0049694A">
        <w:rPr>
          <w:rFonts w:ascii="Times New Roman" w:eastAsia="Times New Roman" w:hAnsi="Times New Roman" w:cs="Times New Roman"/>
          <w:color w:val="000000" w:themeColor="text1"/>
          <w:sz w:val="24"/>
          <w:szCs w:val="24"/>
          <w:lang w:eastAsia="fr-FR"/>
        </w:rPr>
        <w:t xml:space="preserve"> 819, 822 et 824, situées au li</w:t>
      </w:r>
      <w:r w:rsidR="00E36FBC">
        <w:rPr>
          <w:rFonts w:ascii="Times New Roman" w:eastAsia="Times New Roman" w:hAnsi="Times New Roman" w:cs="Times New Roman"/>
          <w:color w:val="000000" w:themeColor="text1"/>
          <w:sz w:val="24"/>
          <w:szCs w:val="24"/>
          <w:lang w:eastAsia="fr-FR"/>
        </w:rPr>
        <w:t>eu-di</w:t>
      </w:r>
      <w:r w:rsidRPr="0049694A">
        <w:rPr>
          <w:rFonts w:ascii="Times New Roman" w:eastAsia="Times New Roman" w:hAnsi="Times New Roman" w:cs="Times New Roman"/>
          <w:color w:val="000000" w:themeColor="text1"/>
          <w:sz w:val="24"/>
          <w:szCs w:val="24"/>
          <w:lang w:eastAsia="fr-FR"/>
        </w:rPr>
        <w:t>t « L’</w:t>
      </w:r>
      <w:proofErr w:type="spellStart"/>
      <w:r w:rsidRPr="0049694A">
        <w:rPr>
          <w:rFonts w:ascii="Times New Roman" w:eastAsia="Times New Roman" w:hAnsi="Times New Roman" w:cs="Times New Roman"/>
          <w:color w:val="000000" w:themeColor="text1"/>
          <w:sz w:val="24"/>
          <w:szCs w:val="24"/>
          <w:lang w:eastAsia="fr-FR"/>
        </w:rPr>
        <w:t>Arpasse</w:t>
      </w:r>
      <w:proofErr w:type="spellEnd"/>
      <w:r w:rsidRPr="0049694A">
        <w:rPr>
          <w:rFonts w:ascii="Times New Roman" w:eastAsia="Times New Roman" w:hAnsi="Times New Roman" w:cs="Times New Roman"/>
          <w:color w:val="000000" w:themeColor="text1"/>
          <w:sz w:val="24"/>
          <w:szCs w:val="24"/>
          <w:lang w:eastAsia="fr-FR"/>
        </w:rPr>
        <w:t xml:space="preserve"> ». Ce projet avait, préalablement, été déclaré d’intérêt général par le conseil métropolitain de la métropole Nice Côte d’Azur à la suite d’une délibération du 25 septembre 2023 laquelle a également emporté mise en compatibilité du plan local d’urbanisme métropolitain</w:t>
      </w:r>
      <w:r w:rsidR="0030310E">
        <w:rPr>
          <w:rFonts w:ascii="Times New Roman" w:eastAsia="Times New Roman" w:hAnsi="Times New Roman" w:cs="Times New Roman"/>
          <w:color w:val="000000" w:themeColor="text1"/>
          <w:sz w:val="24"/>
          <w:szCs w:val="24"/>
          <w:lang w:eastAsia="fr-FR"/>
        </w:rPr>
        <w:t xml:space="preserve"> (ci-après, « </w:t>
      </w:r>
      <w:proofErr w:type="spellStart"/>
      <w:r w:rsidR="0030310E">
        <w:rPr>
          <w:rFonts w:ascii="Times New Roman" w:eastAsia="Times New Roman" w:hAnsi="Times New Roman" w:cs="Times New Roman"/>
          <w:color w:val="000000" w:themeColor="text1"/>
          <w:sz w:val="24"/>
          <w:szCs w:val="24"/>
          <w:lang w:eastAsia="fr-FR"/>
        </w:rPr>
        <w:t>PLUm</w:t>
      </w:r>
      <w:proofErr w:type="spellEnd"/>
      <w:r w:rsidR="0030310E">
        <w:rPr>
          <w:rFonts w:ascii="Times New Roman" w:eastAsia="Times New Roman" w:hAnsi="Times New Roman" w:cs="Times New Roman"/>
          <w:color w:val="000000" w:themeColor="text1"/>
          <w:sz w:val="24"/>
          <w:szCs w:val="24"/>
          <w:lang w:eastAsia="fr-FR"/>
        </w:rPr>
        <w:t> »)</w:t>
      </w:r>
      <w:r w:rsidRPr="0049694A">
        <w:rPr>
          <w:rFonts w:ascii="Times New Roman" w:eastAsia="Times New Roman" w:hAnsi="Times New Roman" w:cs="Times New Roman"/>
          <w:color w:val="000000" w:themeColor="text1"/>
          <w:sz w:val="24"/>
          <w:szCs w:val="24"/>
          <w:lang w:eastAsia="fr-FR"/>
        </w:rPr>
        <w:t xml:space="preserve"> a</w:t>
      </w:r>
      <w:r w:rsidR="00F6086C">
        <w:rPr>
          <w:rFonts w:ascii="Times New Roman" w:eastAsia="Times New Roman" w:hAnsi="Times New Roman" w:cs="Times New Roman"/>
          <w:color w:val="000000" w:themeColor="text1"/>
          <w:sz w:val="24"/>
          <w:szCs w:val="24"/>
          <w:lang w:eastAsia="fr-FR"/>
        </w:rPr>
        <w:t xml:space="preserve">u regard dudit projet. Par sa </w:t>
      </w:r>
      <w:r w:rsidRPr="0049694A">
        <w:rPr>
          <w:rFonts w:ascii="Times New Roman" w:eastAsia="Times New Roman" w:hAnsi="Times New Roman" w:cs="Times New Roman"/>
          <w:color w:val="000000" w:themeColor="text1"/>
          <w:sz w:val="24"/>
          <w:szCs w:val="24"/>
          <w:lang w:eastAsia="fr-FR"/>
        </w:rPr>
        <w:t xml:space="preserve">requête, </w:t>
      </w:r>
      <w:r w:rsidR="00E36FBC" w:rsidRPr="00E36FBC">
        <w:rPr>
          <w:rFonts w:ascii="Times New Roman" w:eastAsia="Times New Roman" w:hAnsi="Times New Roman" w:cs="Times New Roman"/>
          <w:color w:val="000000" w:themeColor="text1"/>
          <w:sz w:val="24"/>
          <w:szCs w:val="24"/>
          <w:lang w:eastAsia="fr-FR"/>
        </w:rPr>
        <w:t>la délégation de la région Provence-Alpes-Côte d’Azur de la ligue pour la protection des oiseaux</w:t>
      </w:r>
      <w:r w:rsidR="00E36FBC">
        <w:rPr>
          <w:rFonts w:ascii="Times New Roman" w:eastAsia="Times New Roman" w:hAnsi="Times New Roman" w:cs="Times New Roman"/>
          <w:color w:val="000000" w:themeColor="text1"/>
          <w:sz w:val="24"/>
          <w:szCs w:val="24"/>
          <w:lang w:eastAsia="fr-FR"/>
        </w:rPr>
        <w:t xml:space="preserve"> (ci-après, « LPO PACA ») </w:t>
      </w:r>
      <w:r w:rsidRPr="0049694A">
        <w:rPr>
          <w:rFonts w:ascii="Times New Roman" w:eastAsia="Times New Roman" w:hAnsi="Times New Roman" w:cs="Times New Roman"/>
          <w:color w:val="000000" w:themeColor="text1"/>
          <w:sz w:val="24"/>
          <w:szCs w:val="24"/>
          <w:lang w:eastAsia="fr-FR"/>
        </w:rPr>
        <w:t>demande au tribunal d’annuler l’arrêté du 1</w:t>
      </w:r>
      <w:r w:rsidRPr="0049694A">
        <w:rPr>
          <w:rFonts w:ascii="Times New Roman" w:eastAsia="Times New Roman" w:hAnsi="Times New Roman" w:cs="Times New Roman"/>
          <w:color w:val="000000" w:themeColor="text1"/>
          <w:sz w:val="24"/>
          <w:szCs w:val="24"/>
          <w:vertAlign w:val="superscript"/>
          <w:lang w:eastAsia="fr-FR"/>
        </w:rPr>
        <w:t xml:space="preserve">er </w:t>
      </w:r>
      <w:r w:rsidRPr="0049694A">
        <w:rPr>
          <w:rFonts w:ascii="Times New Roman" w:eastAsia="Times New Roman" w:hAnsi="Times New Roman" w:cs="Times New Roman"/>
          <w:color w:val="000000" w:themeColor="text1"/>
          <w:sz w:val="24"/>
          <w:szCs w:val="24"/>
          <w:lang w:eastAsia="fr-FR"/>
        </w:rPr>
        <w:t xml:space="preserve">mars 2024. </w:t>
      </w:r>
    </w:p>
    <w:p w14:paraId="5A2FBD92" w14:textId="48FE6100" w:rsidR="009E5F6D" w:rsidRDefault="009E5F6D" w:rsidP="00E36FBC">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6C03B312" w14:textId="24393CC5" w:rsidR="009E5F6D" w:rsidRPr="009E5F6D" w:rsidRDefault="009E5F6D" w:rsidP="009E5F6D">
      <w:pPr>
        <w:spacing w:after="0" w:line="240" w:lineRule="auto"/>
        <w:jc w:val="both"/>
        <w:rPr>
          <w:rFonts w:ascii="Times New Roman" w:eastAsia="Times New Roman" w:hAnsi="Times New Roman" w:cs="Times New Roman"/>
          <w:b/>
          <w:color w:val="000000" w:themeColor="text1"/>
          <w:sz w:val="24"/>
          <w:szCs w:val="24"/>
          <w:u w:val="single"/>
          <w:lang w:eastAsia="fr-FR"/>
        </w:rPr>
      </w:pPr>
      <w:r w:rsidRPr="009E5F6D">
        <w:rPr>
          <w:rFonts w:ascii="Times New Roman" w:eastAsia="Times New Roman" w:hAnsi="Times New Roman" w:cs="Times New Roman"/>
          <w:b/>
          <w:color w:val="000000" w:themeColor="text1"/>
          <w:sz w:val="24"/>
          <w:szCs w:val="24"/>
          <w:u w:val="single"/>
          <w:lang w:eastAsia="fr-FR"/>
        </w:rPr>
        <w:t>Sur la fin de non-recevoir opposée par la SMEG tiré</w:t>
      </w:r>
      <w:r w:rsidR="0030310E">
        <w:rPr>
          <w:rFonts w:ascii="Times New Roman" w:eastAsia="Times New Roman" w:hAnsi="Times New Roman" w:cs="Times New Roman"/>
          <w:b/>
          <w:color w:val="000000" w:themeColor="text1"/>
          <w:sz w:val="24"/>
          <w:szCs w:val="24"/>
          <w:u w:val="single"/>
          <w:lang w:eastAsia="fr-FR"/>
        </w:rPr>
        <w:t>e</w:t>
      </w:r>
      <w:r w:rsidRPr="009E5F6D">
        <w:rPr>
          <w:rFonts w:ascii="Times New Roman" w:eastAsia="Times New Roman" w:hAnsi="Times New Roman" w:cs="Times New Roman"/>
          <w:b/>
          <w:color w:val="000000" w:themeColor="text1"/>
          <w:sz w:val="24"/>
          <w:szCs w:val="24"/>
          <w:u w:val="single"/>
          <w:lang w:eastAsia="fr-FR"/>
        </w:rPr>
        <w:t xml:space="preserve"> du défaut d’intérêt à agir de la LPO PACA :</w:t>
      </w:r>
    </w:p>
    <w:p w14:paraId="360B416D" w14:textId="77777777" w:rsidR="009E5F6D" w:rsidRDefault="009E5F6D" w:rsidP="00E36FBC">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712693CC" w14:textId="007C3237" w:rsidR="00205E02" w:rsidRDefault="009E5F6D" w:rsidP="00205E02">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2. Aux termes de l’article L. 141-1 du code de l’environnement : « </w:t>
      </w:r>
      <w:r w:rsidRPr="009E5F6D">
        <w:rPr>
          <w:rFonts w:ascii="Times New Roman" w:eastAsia="Times New Roman" w:hAnsi="Times New Roman" w:cs="Times New Roman"/>
          <w:color w:val="000000" w:themeColor="text1"/>
          <w:sz w:val="24"/>
          <w:szCs w:val="24"/>
          <w:lang w:eastAsia="fr-FR"/>
        </w:rPr>
        <w:t xml:space="preserve"> </w:t>
      </w:r>
      <w:r w:rsidRPr="00B0073E">
        <w:rPr>
          <w:rFonts w:ascii="Times New Roman" w:eastAsia="Times New Roman" w:hAnsi="Times New Roman" w:cs="Times New Roman"/>
          <w:i/>
          <w:color w:val="000000" w:themeColor="text1"/>
          <w:sz w:val="24"/>
          <w:szCs w:val="24"/>
          <w:lang w:eastAsia="fr-FR"/>
        </w:rPr>
        <w:t xml:space="preserve">Lorsqu'elles exercent leurs activités depuis au moins trois ans, les associations régulièrement déclarées et </w:t>
      </w:r>
      <w:r w:rsidRPr="00B0073E">
        <w:rPr>
          <w:rFonts w:ascii="Times New Roman" w:eastAsia="Times New Roman" w:hAnsi="Times New Roman" w:cs="Times New Roman"/>
          <w:i/>
          <w:color w:val="000000" w:themeColor="text1"/>
          <w:sz w:val="24"/>
          <w:szCs w:val="24"/>
          <w:lang w:eastAsia="fr-FR"/>
        </w:rPr>
        <w:lastRenderedPageBreak/>
        <w:t>exerçant leurs activités statutaires dans le domaine de la protection de la nature et de la gestion de la faune sauvage, de l'amélioration du cadre de vie, de la protection de l'eau, de l'air, des sols, des sites et paysages, de l'urbanisme, ou ayant pour objet la lutte contre les pollutions et les nuisances et, d'une manière générale, oeuvrant principalement pour la protection de l'environnement, peuvent faire l'objet d'un agrément motivé de l'autorité administrative. / (…)  Ces associations sont dites "associations agréées de protection de l'environnement".</w:t>
      </w:r>
      <w:r w:rsidR="00B0073E" w:rsidRPr="00B0073E">
        <w:rPr>
          <w:rFonts w:ascii="Times New Roman" w:eastAsia="Times New Roman" w:hAnsi="Times New Roman" w:cs="Times New Roman"/>
          <w:i/>
          <w:color w:val="000000" w:themeColor="text1"/>
          <w:sz w:val="24"/>
          <w:szCs w:val="24"/>
          <w:lang w:eastAsia="fr-FR"/>
        </w:rPr>
        <w:t xml:space="preserve"> / (…)</w:t>
      </w:r>
      <w:r w:rsidR="00B0073E">
        <w:rPr>
          <w:rFonts w:ascii="Times New Roman" w:eastAsia="Times New Roman" w:hAnsi="Times New Roman" w:cs="Times New Roman"/>
          <w:color w:val="000000" w:themeColor="text1"/>
          <w:sz w:val="24"/>
          <w:szCs w:val="24"/>
          <w:lang w:eastAsia="fr-FR"/>
        </w:rPr>
        <w:t> ».</w:t>
      </w:r>
      <w:r w:rsidR="00205E02">
        <w:rPr>
          <w:rFonts w:ascii="Times New Roman" w:eastAsia="Times New Roman" w:hAnsi="Times New Roman" w:cs="Times New Roman"/>
          <w:color w:val="000000" w:themeColor="text1"/>
          <w:sz w:val="24"/>
          <w:szCs w:val="24"/>
          <w:lang w:eastAsia="fr-FR"/>
        </w:rPr>
        <w:t xml:space="preserve"> En outre, aux termes de l’article L. 142-1 de ce même code : « </w:t>
      </w:r>
      <w:r w:rsidR="00205E02" w:rsidRPr="00205E02">
        <w:rPr>
          <w:rFonts w:ascii="Times New Roman" w:eastAsia="Times New Roman" w:hAnsi="Times New Roman" w:cs="Times New Roman"/>
          <w:i/>
          <w:color w:val="000000" w:themeColor="text1"/>
          <w:sz w:val="24"/>
          <w:szCs w:val="24"/>
          <w:lang w:eastAsia="fr-FR"/>
        </w:rPr>
        <w:t>Toute association ayant pour objet la protection de la nature et de l'environnement peut engager des instances devant les juridictions administratives pour tout grief se rapportant à celle-ci. / Toute association de protection de l'environnement agréée au titre de l'article L. 141-1 ainsi que les fédérations départementales des associations agréées de pêche et de protection du milieu aquatique et les associations agréées de pêcheurs professionnels justifient d'un intérêt pour agir contre toute décision administrative ayant un rapport direct avec leur objet et leurs activités statutaires et produisant des effets dommageables pour l'environnement sur tout ou partie du territoire pour lequel elles bénéficient de l'agrément dès lors que cette décision est intervenue après la date de leur agrément</w:t>
      </w:r>
      <w:r w:rsidR="00205E02">
        <w:rPr>
          <w:rFonts w:ascii="Times New Roman" w:eastAsia="Times New Roman" w:hAnsi="Times New Roman" w:cs="Times New Roman"/>
          <w:color w:val="000000" w:themeColor="text1"/>
          <w:sz w:val="24"/>
          <w:szCs w:val="24"/>
          <w:lang w:eastAsia="fr-FR"/>
        </w:rPr>
        <w:t xml:space="preserve"> ». </w:t>
      </w:r>
    </w:p>
    <w:p w14:paraId="480A2E2F" w14:textId="215D477C" w:rsidR="00B0073E" w:rsidRDefault="00B0073E" w:rsidP="00205E02">
      <w:pPr>
        <w:spacing w:after="0" w:line="240" w:lineRule="auto"/>
        <w:jc w:val="both"/>
        <w:rPr>
          <w:rFonts w:ascii="Times New Roman" w:eastAsia="Times New Roman" w:hAnsi="Times New Roman" w:cs="Times New Roman"/>
          <w:color w:val="000000" w:themeColor="text1"/>
          <w:sz w:val="24"/>
          <w:szCs w:val="24"/>
          <w:lang w:eastAsia="fr-FR"/>
        </w:rPr>
      </w:pPr>
    </w:p>
    <w:p w14:paraId="08397D10" w14:textId="159D3E15" w:rsidR="00F30D77" w:rsidRDefault="00205E02" w:rsidP="00205E02">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3</w:t>
      </w:r>
      <w:r w:rsidR="00B0073E">
        <w:rPr>
          <w:rFonts w:ascii="Times New Roman" w:eastAsia="Times New Roman" w:hAnsi="Times New Roman" w:cs="Times New Roman"/>
          <w:color w:val="000000" w:themeColor="text1"/>
          <w:sz w:val="24"/>
          <w:szCs w:val="24"/>
          <w:lang w:eastAsia="fr-FR"/>
        </w:rPr>
        <w:t>. En l’espèce, il ressort des pièces du dossier que la LPO PACA est, depuis le 29 janvier 2023, une association agréée de protection de l’environnement au titre des dispositions précitées de l’article L. 141-1 du code de l’environnement. Il ressort, en outre, des statuts de cette association</w:t>
      </w:r>
      <w:r w:rsidR="0030310E">
        <w:rPr>
          <w:rFonts w:ascii="Times New Roman" w:eastAsia="Times New Roman" w:hAnsi="Times New Roman" w:cs="Times New Roman"/>
          <w:color w:val="000000" w:themeColor="text1"/>
          <w:sz w:val="24"/>
          <w:szCs w:val="24"/>
          <w:lang w:eastAsia="fr-FR"/>
        </w:rPr>
        <w:t>,</w:t>
      </w:r>
      <w:r w:rsidR="00B0073E">
        <w:rPr>
          <w:rFonts w:ascii="Times New Roman" w:eastAsia="Times New Roman" w:hAnsi="Times New Roman" w:cs="Times New Roman"/>
          <w:color w:val="000000" w:themeColor="text1"/>
          <w:sz w:val="24"/>
          <w:szCs w:val="24"/>
          <w:lang w:eastAsia="fr-FR"/>
        </w:rPr>
        <w:t xml:space="preserve"> versés au dossier</w:t>
      </w:r>
      <w:r w:rsidR="0030310E">
        <w:rPr>
          <w:rFonts w:ascii="Times New Roman" w:eastAsia="Times New Roman" w:hAnsi="Times New Roman" w:cs="Times New Roman"/>
          <w:color w:val="000000" w:themeColor="text1"/>
          <w:sz w:val="24"/>
          <w:szCs w:val="24"/>
          <w:lang w:eastAsia="fr-FR"/>
        </w:rPr>
        <w:t>,</w:t>
      </w:r>
      <w:r w:rsidR="00B0073E">
        <w:rPr>
          <w:rFonts w:ascii="Times New Roman" w:eastAsia="Times New Roman" w:hAnsi="Times New Roman" w:cs="Times New Roman"/>
          <w:color w:val="000000" w:themeColor="text1"/>
          <w:sz w:val="24"/>
          <w:szCs w:val="24"/>
          <w:lang w:eastAsia="fr-FR"/>
        </w:rPr>
        <w:t xml:space="preserve"> qu’</w:t>
      </w:r>
      <w:r>
        <w:rPr>
          <w:rFonts w:ascii="Times New Roman" w:eastAsia="Times New Roman" w:hAnsi="Times New Roman" w:cs="Times New Roman"/>
          <w:color w:val="000000" w:themeColor="text1"/>
          <w:sz w:val="24"/>
          <w:szCs w:val="24"/>
          <w:lang w:eastAsia="fr-FR"/>
        </w:rPr>
        <w:t>elle a notamment pour objet, sur le territoire de la région Provence-Alpes-Côte d’Azur, « </w:t>
      </w:r>
      <w:r w:rsidRPr="00205E02">
        <w:rPr>
          <w:rFonts w:ascii="Times New Roman" w:eastAsia="Times New Roman" w:hAnsi="Times New Roman" w:cs="Times New Roman"/>
          <w:i/>
          <w:color w:val="000000" w:themeColor="text1"/>
          <w:sz w:val="24"/>
          <w:szCs w:val="24"/>
          <w:lang w:eastAsia="fr-FR"/>
        </w:rPr>
        <w:t>d’agir pour l’oiseau, la faune sauvage, la nature (…)</w:t>
      </w:r>
      <w:r>
        <w:rPr>
          <w:rFonts w:ascii="Times New Roman" w:eastAsia="Times New Roman" w:hAnsi="Times New Roman" w:cs="Times New Roman"/>
          <w:color w:val="000000" w:themeColor="text1"/>
          <w:sz w:val="24"/>
          <w:szCs w:val="24"/>
          <w:lang w:eastAsia="fr-FR"/>
        </w:rPr>
        <w:t> », « </w:t>
      </w:r>
      <w:r w:rsidRPr="00205E02">
        <w:rPr>
          <w:rFonts w:ascii="Times New Roman" w:eastAsia="Times New Roman" w:hAnsi="Times New Roman" w:cs="Times New Roman"/>
          <w:i/>
          <w:color w:val="000000" w:themeColor="text1"/>
          <w:sz w:val="24"/>
          <w:szCs w:val="24"/>
          <w:lang w:eastAsia="fr-FR"/>
        </w:rPr>
        <w:t>[de] lutter contre le déclin de la biodiversité (…)</w:t>
      </w:r>
      <w:r>
        <w:rPr>
          <w:rFonts w:ascii="Times New Roman" w:eastAsia="Times New Roman" w:hAnsi="Times New Roman" w:cs="Times New Roman"/>
          <w:color w:val="000000" w:themeColor="text1"/>
          <w:sz w:val="24"/>
          <w:szCs w:val="24"/>
          <w:lang w:eastAsia="fr-FR"/>
        </w:rPr>
        <w:t> » et de se mobiliser pour « </w:t>
      </w:r>
      <w:r w:rsidRPr="0030310E">
        <w:rPr>
          <w:rFonts w:ascii="Times New Roman" w:eastAsia="Times New Roman" w:hAnsi="Times New Roman" w:cs="Times New Roman"/>
          <w:i/>
          <w:color w:val="000000" w:themeColor="text1"/>
          <w:sz w:val="24"/>
          <w:szCs w:val="24"/>
          <w:lang w:eastAsia="fr-FR"/>
        </w:rPr>
        <w:t>(…) défendre, conserver et restaurer les différentes espèces animales et végétales, en particulier, celles qui sont rares ou menacées de disparition / (…) les espaces, ressources, milieux et habitats naturels, l’eau, l’air, les sols, les sous-sols, les sites, les paysages et le cadre de vie / (…)</w:t>
      </w:r>
      <w:r>
        <w:rPr>
          <w:rFonts w:ascii="Times New Roman" w:eastAsia="Times New Roman" w:hAnsi="Times New Roman" w:cs="Times New Roman"/>
          <w:color w:val="000000" w:themeColor="text1"/>
          <w:sz w:val="24"/>
          <w:szCs w:val="24"/>
          <w:lang w:eastAsia="fr-FR"/>
        </w:rPr>
        <w:t xml:space="preserve"> ». </w:t>
      </w:r>
      <w:r w:rsidRPr="00205E02">
        <w:rPr>
          <w:rFonts w:ascii="Times New Roman" w:eastAsia="Times New Roman" w:hAnsi="Times New Roman" w:cs="Times New Roman"/>
          <w:color w:val="000000" w:themeColor="text1"/>
          <w:sz w:val="24"/>
          <w:szCs w:val="24"/>
          <w:lang w:eastAsia="fr-FR"/>
        </w:rPr>
        <w:t xml:space="preserve">Dans ces conditions, </w:t>
      </w:r>
      <w:r>
        <w:rPr>
          <w:rFonts w:ascii="Times New Roman" w:eastAsia="Times New Roman" w:hAnsi="Times New Roman" w:cs="Times New Roman"/>
          <w:color w:val="000000" w:themeColor="text1"/>
          <w:sz w:val="24"/>
          <w:szCs w:val="24"/>
          <w:lang w:eastAsia="fr-FR"/>
        </w:rPr>
        <w:t xml:space="preserve">en application des dispositions précitées de l’article </w:t>
      </w:r>
      <w:r w:rsidRPr="00205E02">
        <w:rPr>
          <w:rFonts w:ascii="Times New Roman" w:eastAsia="Times New Roman" w:hAnsi="Times New Roman" w:cs="Times New Roman"/>
          <w:color w:val="000000" w:themeColor="text1"/>
          <w:sz w:val="24"/>
          <w:szCs w:val="24"/>
          <w:lang w:eastAsia="fr-FR"/>
        </w:rPr>
        <w:t>L. 142-1</w:t>
      </w:r>
      <w:r>
        <w:rPr>
          <w:rFonts w:ascii="Times New Roman" w:eastAsia="Times New Roman" w:hAnsi="Times New Roman" w:cs="Times New Roman"/>
          <w:color w:val="000000" w:themeColor="text1"/>
          <w:sz w:val="24"/>
          <w:szCs w:val="24"/>
          <w:lang w:eastAsia="fr-FR"/>
        </w:rPr>
        <w:t xml:space="preserve"> du code de l’environnement et </w:t>
      </w:r>
      <w:r w:rsidRPr="00205E02">
        <w:rPr>
          <w:rFonts w:ascii="Times New Roman" w:eastAsia="Times New Roman" w:hAnsi="Times New Roman" w:cs="Times New Roman"/>
          <w:color w:val="000000" w:themeColor="text1"/>
          <w:sz w:val="24"/>
          <w:szCs w:val="24"/>
          <w:lang w:eastAsia="fr-FR"/>
        </w:rPr>
        <w:t xml:space="preserve">au regard de son objet, de son champ d’action géographique et compte tenu, en outre, des caractéristiques du projet litigieux à savoir la réalisation d’un parc photovoltaïque de 11,7 hectares sur des parcelles qui étaient intégralement classées en zone naturelle du règlement du </w:t>
      </w:r>
      <w:proofErr w:type="spellStart"/>
      <w:r w:rsidR="0030310E">
        <w:rPr>
          <w:rFonts w:ascii="Times New Roman" w:eastAsia="Times New Roman" w:hAnsi="Times New Roman" w:cs="Times New Roman"/>
          <w:color w:val="000000" w:themeColor="text1"/>
          <w:sz w:val="24"/>
          <w:szCs w:val="24"/>
          <w:lang w:eastAsia="fr-FR"/>
        </w:rPr>
        <w:t>PLUm</w:t>
      </w:r>
      <w:proofErr w:type="spellEnd"/>
      <w:r w:rsidRPr="00205E02">
        <w:rPr>
          <w:rFonts w:ascii="Times New Roman" w:eastAsia="Times New Roman" w:hAnsi="Times New Roman" w:cs="Times New Roman"/>
          <w:color w:val="000000" w:themeColor="text1"/>
          <w:sz w:val="24"/>
          <w:szCs w:val="24"/>
          <w:lang w:eastAsia="fr-FR"/>
        </w:rPr>
        <w:t xml:space="preserve"> et de ses conséquences, telles qu’elles ont été notamment identifiées par le chapitre 6 de l’étude d’impact du projet, </w:t>
      </w:r>
      <w:r w:rsidR="00F30D77">
        <w:rPr>
          <w:rFonts w:ascii="Times New Roman" w:eastAsia="Times New Roman" w:hAnsi="Times New Roman" w:cs="Times New Roman"/>
          <w:color w:val="000000" w:themeColor="text1"/>
          <w:sz w:val="24"/>
          <w:szCs w:val="24"/>
          <w:lang w:eastAsia="fr-FR"/>
        </w:rPr>
        <w:t>sur la faune, la flore et les habitats naturels (</w:t>
      </w:r>
      <w:r w:rsidR="00F30D77" w:rsidRPr="0030310E">
        <w:rPr>
          <w:rFonts w:ascii="Times New Roman" w:eastAsia="Times New Roman" w:hAnsi="Times New Roman" w:cs="Times New Roman"/>
          <w:i/>
          <w:color w:val="000000" w:themeColor="text1"/>
          <w:sz w:val="24"/>
          <w:szCs w:val="24"/>
          <w:lang w:eastAsia="fr-FR"/>
        </w:rPr>
        <w:t>page 273 et suivantes de l’étude d’impact</w:t>
      </w:r>
      <w:r w:rsidR="00F30D77">
        <w:rPr>
          <w:rFonts w:ascii="Times New Roman" w:eastAsia="Times New Roman" w:hAnsi="Times New Roman" w:cs="Times New Roman"/>
          <w:color w:val="000000" w:themeColor="text1"/>
          <w:sz w:val="24"/>
          <w:szCs w:val="24"/>
          <w:lang w:eastAsia="fr-FR"/>
        </w:rPr>
        <w:t>), la LPO</w:t>
      </w:r>
      <w:r w:rsidR="0030310E">
        <w:rPr>
          <w:rFonts w:ascii="Times New Roman" w:eastAsia="Times New Roman" w:hAnsi="Times New Roman" w:cs="Times New Roman"/>
          <w:color w:val="000000" w:themeColor="text1"/>
          <w:sz w:val="24"/>
          <w:szCs w:val="24"/>
          <w:lang w:eastAsia="fr-FR"/>
        </w:rPr>
        <w:t xml:space="preserve"> PACA justifie d’un intérêt à agir lui</w:t>
      </w:r>
      <w:r w:rsidR="00F30D77">
        <w:rPr>
          <w:rFonts w:ascii="Times New Roman" w:eastAsia="Times New Roman" w:hAnsi="Times New Roman" w:cs="Times New Roman"/>
          <w:color w:val="000000" w:themeColor="text1"/>
          <w:sz w:val="24"/>
          <w:szCs w:val="24"/>
          <w:lang w:eastAsia="fr-FR"/>
        </w:rPr>
        <w:t xml:space="preserve"> donnant qualité pour agir à l’encontre de l’autorisation d’urbanisme attaquée. Par suite, la fin de non-recevoir opposée par la SMEG tirée du défaut d’intérêt à agir de l’association requérante doit être écartée.</w:t>
      </w:r>
    </w:p>
    <w:p w14:paraId="69A9E84B" w14:textId="77777777" w:rsidR="00F30D77" w:rsidRDefault="00F30D77" w:rsidP="00205E02">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3EC9F7AC" w14:textId="66DA728E" w:rsidR="00F30D77" w:rsidRPr="00F30D77" w:rsidRDefault="00F30D77" w:rsidP="00F30D77">
      <w:pPr>
        <w:spacing w:after="0" w:line="240" w:lineRule="auto"/>
        <w:jc w:val="both"/>
        <w:rPr>
          <w:rFonts w:ascii="Times New Roman" w:eastAsia="Times New Roman" w:hAnsi="Times New Roman" w:cs="Times New Roman"/>
          <w:b/>
          <w:color w:val="000000" w:themeColor="text1"/>
          <w:sz w:val="24"/>
          <w:szCs w:val="24"/>
          <w:u w:val="single"/>
          <w:lang w:eastAsia="fr-FR"/>
        </w:rPr>
      </w:pPr>
      <w:r w:rsidRPr="00F30D77">
        <w:rPr>
          <w:rFonts w:ascii="Times New Roman" w:eastAsia="Times New Roman" w:hAnsi="Times New Roman" w:cs="Times New Roman"/>
          <w:b/>
          <w:color w:val="000000" w:themeColor="text1"/>
          <w:sz w:val="24"/>
          <w:szCs w:val="24"/>
          <w:u w:val="single"/>
          <w:lang w:eastAsia="fr-FR"/>
        </w:rPr>
        <w:t>Sur les conclusions à fin d’annulation de l’arrêté du 1</w:t>
      </w:r>
      <w:r w:rsidRPr="00F30D77">
        <w:rPr>
          <w:rFonts w:ascii="Times New Roman" w:eastAsia="Times New Roman" w:hAnsi="Times New Roman" w:cs="Times New Roman"/>
          <w:b/>
          <w:color w:val="000000" w:themeColor="text1"/>
          <w:sz w:val="24"/>
          <w:szCs w:val="24"/>
          <w:u w:val="single"/>
          <w:vertAlign w:val="superscript"/>
          <w:lang w:eastAsia="fr-FR"/>
        </w:rPr>
        <w:t>er</w:t>
      </w:r>
      <w:r w:rsidRPr="00F30D77">
        <w:rPr>
          <w:rFonts w:ascii="Times New Roman" w:eastAsia="Times New Roman" w:hAnsi="Times New Roman" w:cs="Times New Roman"/>
          <w:b/>
          <w:color w:val="000000" w:themeColor="text1"/>
          <w:sz w:val="24"/>
          <w:szCs w:val="24"/>
          <w:u w:val="single"/>
          <w:lang w:eastAsia="fr-FR"/>
        </w:rPr>
        <w:t xml:space="preserve"> mars 2024 : </w:t>
      </w:r>
    </w:p>
    <w:p w14:paraId="652F5C12" w14:textId="77777777" w:rsidR="00F30D77" w:rsidRPr="00F30D77" w:rsidRDefault="00F30D77" w:rsidP="00F30D77">
      <w:pPr>
        <w:spacing w:after="0" w:line="240" w:lineRule="auto"/>
        <w:ind w:firstLine="851"/>
        <w:jc w:val="both"/>
        <w:rPr>
          <w:rFonts w:ascii="Times New Roman" w:eastAsia="Times New Roman" w:hAnsi="Times New Roman" w:cs="Times New Roman"/>
          <w:b/>
          <w:color w:val="000000" w:themeColor="text1"/>
          <w:sz w:val="24"/>
          <w:szCs w:val="24"/>
          <w:u w:val="single"/>
          <w:lang w:eastAsia="fr-FR"/>
        </w:rPr>
      </w:pPr>
    </w:p>
    <w:p w14:paraId="64EC0F87" w14:textId="51C01A11" w:rsidR="00F30D77" w:rsidRDefault="00F30D77" w:rsidP="00F30D77">
      <w:pPr>
        <w:spacing w:after="0" w:line="240" w:lineRule="auto"/>
        <w:jc w:val="both"/>
        <w:rPr>
          <w:rFonts w:ascii="Times New Roman" w:eastAsia="Times New Roman" w:hAnsi="Times New Roman" w:cs="Times New Roman"/>
          <w:b/>
          <w:color w:val="000000" w:themeColor="text1"/>
          <w:sz w:val="24"/>
          <w:szCs w:val="24"/>
          <w:u w:val="single"/>
          <w:lang w:eastAsia="fr-FR"/>
        </w:rPr>
      </w:pPr>
      <w:r w:rsidRPr="00F30D77">
        <w:rPr>
          <w:rFonts w:ascii="Times New Roman" w:eastAsia="Times New Roman" w:hAnsi="Times New Roman" w:cs="Times New Roman"/>
          <w:b/>
          <w:color w:val="000000" w:themeColor="text1"/>
          <w:sz w:val="24"/>
          <w:szCs w:val="24"/>
          <w:u w:val="single"/>
          <w:lang w:eastAsia="fr-FR"/>
        </w:rPr>
        <w:t xml:space="preserve">Sur le moyen tiré de la prétendue incompétence du signataire de l’arrêté attaqué : </w:t>
      </w:r>
    </w:p>
    <w:p w14:paraId="51B4E3C7" w14:textId="48CB6904" w:rsidR="00F30D77" w:rsidRDefault="00F30D77" w:rsidP="00F30D77">
      <w:pPr>
        <w:spacing w:after="0" w:line="240" w:lineRule="auto"/>
        <w:ind w:firstLine="851"/>
        <w:jc w:val="both"/>
        <w:rPr>
          <w:rFonts w:ascii="Times New Roman" w:eastAsia="Times New Roman" w:hAnsi="Times New Roman" w:cs="Times New Roman"/>
          <w:b/>
          <w:color w:val="000000" w:themeColor="text1"/>
          <w:sz w:val="24"/>
          <w:szCs w:val="24"/>
          <w:u w:val="single"/>
          <w:lang w:eastAsia="fr-FR"/>
        </w:rPr>
      </w:pPr>
    </w:p>
    <w:p w14:paraId="02AF1BF5" w14:textId="77777777" w:rsidR="00F30D77" w:rsidRPr="00F30D77" w:rsidRDefault="00F30D77" w:rsidP="00F30D77">
      <w:pPr>
        <w:spacing w:after="0" w:line="240" w:lineRule="auto"/>
        <w:ind w:firstLine="851"/>
        <w:jc w:val="both"/>
        <w:rPr>
          <w:rFonts w:ascii="Times New Roman" w:eastAsia="Times New Roman" w:hAnsi="Times New Roman" w:cs="Times New Roman"/>
          <w:color w:val="000000" w:themeColor="text1"/>
          <w:sz w:val="24"/>
          <w:szCs w:val="24"/>
          <w:lang w:eastAsia="fr-FR"/>
        </w:rPr>
      </w:pPr>
      <w:r w:rsidRPr="00F30D77">
        <w:rPr>
          <w:rFonts w:ascii="Times New Roman" w:eastAsia="Times New Roman" w:hAnsi="Times New Roman" w:cs="Times New Roman"/>
          <w:color w:val="000000" w:themeColor="text1"/>
          <w:sz w:val="24"/>
          <w:szCs w:val="24"/>
          <w:lang w:eastAsia="fr-FR"/>
        </w:rPr>
        <w:t>4. D’une part, aux termes de l’article L. 422-2 du code de l'urbanisme : « </w:t>
      </w:r>
      <w:r w:rsidRPr="00F30D77">
        <w:rPr>
          <w:rFonts w:ascii="Times New Roman" w:eastAsia="Times New Roman" w:hAnsi="Times New Roman" w:cs="Times New Roman"/>
          <w:i/>
          <w:color w:val="000000" w:themeColor="text1"/>
          <w:sz w:val="24"/>
          <w:szCs w:val="24"/>
          <w:lang w:eastAsia="fr-FR"/>
        </w:rPr>
        <w:t>Par exception aux dispositions du a de l'article L. 422-1, l'autorité administrative de l'Etat est compétente pour se prononcer sur un projet portant sur : / (…) b) Les ouvrages de production, de transport, de distribution et de stockage d'énergie (…)</w:t>
      </w:r>
      <w:r w:rsidRPr="00F30D77">
        <w:rPr>
          <w:rFonts w:ascii="Times New Roman" w:eastAsia="Times New Roman" w:hAnsi="Times New Roman" w:cs="Times New Roman"/>
          <w:color w:val="000000" w:themeColor="text1"/>
          <w:sz w:val="24"/>
          <w:szCs w:val="24"/>
          <w:lang w:eastAsia="fr-FR"/>
        </w:rPr>
        <w:t> ». Aux termes de l’article R. 422-22 du même code : « </w:t>
      </w:r>
      <w:r w:rsidRPr="00F30D77">
        <w:rPr>
          <w:rFonts w:ascii="Times New Roman" w:eastAsia="Times New Roman" w:hAnsi="Times New Roman" w:cs="Times New Roman"/>
          <w:i/>
          <w:color w:val="000000" w:themeColor="text1"/>
          <w:sz w:val="24"/>
          <w:szCs w:val="24"/>
          <w:lang w:eastAsia="fr-FR"/>
        </w:rPr>
        <w:t>Le préfet est compétent pour délivrer le permis de construire, d'aménager ou de démolir et pour se prononcer sur un projet faisant l'objet d'une déclaration préalable dans les communes visées au b de l'article L. 422-1 et dans les cas prévus par l'article L. 422-2 dans les hypothèses suivantes : / (…) b) Pour les ouvrages de production, de transport, de distribution et de stockage d'énergie lorsque cette énergie n'est pas destinée, principalement, à une utilisation directe par le demandeur ; / (…)</w:t>
      </w:r>
      <w:r w:rsidRPr="00F30D77">
        <w:rPr>
          <w:rFonts w:ascii="Times New Roman" w:eastAsia="Times New Roman" w:hAnsi="Times New Roman" w:cs="Times New Roman"/>
          <w:color w:val="000000" w:themeColor="text1"/>
          <w:sz w:val="24"/>
          <w:szCs w:val="24"/>
          <w:lang w:eastAsia="fr-FR"/>
        </w:rPr>
        <w:t> ».</w:t>
      </w:r>
    </w:p>
    <w:p w14:paraId="12D04339" w14:textId="77777777" w:rsidR="00F30D77" w:rsidRPr="00F30D77" w:rsidRDefault="00F30D77" w:rsidP="00F30D77">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5AAFA48B" w14:textId="2EFF006D" w:rsidR="00F30D77" w:rsidRPr="00F30D77" w:rsidRDefault="006853F4" w:rsidP="00F30D77">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5</w:t>
      </w:r>
      <w:r w:rsidR="00F30D77" w:rsidRPr="00F30D77">
        <w:rPr>
          <w:rFonts w:ascii="Times New Roman" w:eastAsia="Times New Roman" w:hAnsi="Times New Roman" w:cs="Times New Roman"/>
          <w:color w:val="000000" w:themeColor="text1"/>
          <w:sz w:val="24"/>
          <w:szCs w:val="24"/>
          <w:lang w:eastAsia="fr-FR"/>
        </w:rPr>
        <w:t>. D’autre part, aux termes de l’article 43 du décret du 29 avril 2004 relatif aux pouvoirs des préfets, à l’organisation et à l’action des services de l’Etat dans les régions et départements : « </w:t>
      </w:r>
      <w:r w:rsidR="00F30D77" w:rsidRPr="00F30D77">
        <w:rPr>
          <w:rFonts w:ascii="Times New Roman" w:eastAsia="Times New Roman" w:hAnsi="Times New Roman" w:cs="Times New Roman"/>
          <w:i/>
          <w:color w:val="000000" w:themeColor="text1"/>
          <w:sz w:val="24"/>
          <w:szCs w:val="24"/>
          <w:lang w:eastAsia="fr-FR"/>
        </w:rPr>
        <w:t>Le préfet de département peut donner délégation de signature, notamment en matière d'ordonnancement secondaire : / 1° En toutes matières et notamment pour celles qui intéressent plusieurs chefs des services déconcentrés des administrations civiles de l'Etat dans le département, au secrétaire général (…)</w:t>
      </w:r>
      <w:r w:rsidR="00F30D77" w:rsidRPr="00F30D77">
        <w:rPr>
          <w:rFonts w:ascii="Times New Roman" w:eastAsia="Times New Roman" w:hAnsi="Times New Roman" w:cs="Times New Roman"/>
          <w:color w:val="000000" w:themeColor="text1"/>
          <w:sz w:val="24"/>
          <w:szCs w:val="24"/>
          <w:lang w:eastAsia="fr-FR"/>
        </w:rPr>
        <w:t> ».</w:t>
      </w:r>
    </w:p>
    <w:p w14:paraId="1F485A3D" w14:textId="77777777" w:rsidR="00F30D77" w:rsidRPr="00F30D77" w:rsidRDefault="00F30D77" w:rsidP="00F30D77">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35BAA5A9" w14:textId="3054FCF8" w:rsidR="00F30D77" w:rsidRDefault="006853F4" w:rsidP="00F30D77">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6</w:t>
      </w:r>
      <w:r w:rsidR="00F30D77" w:rsidRPr="00F30D77">
        <w:rPr>
          <w:rFonts w:ascii="Times New Roman" w:eastAsia="Times New Roman" w:hAnsi="Times New Roman" w:cs="Times New Roman"/>
          <w:color w:val="000000" w:themeColor="text1"/>
          <w:sz w:val="24"/>
          <w:szCs w:val="24"/>
          <w:lang w:eastAsia="fr-FR"/>
        </w:rPr>
        <w:t>. En l’espèce, il est constant que l’arrêté attaqué du 1</w:t>
      </w:r>
      <w:r w:rsidR="00F30D77" w:rsidRPr="00F30D77">
        <w:rPr>
          <w:rFonts w:ascii="Times New Roman" w:eastAsia="Times New Roman" w:hAnsi="Times New Roman" w:cs="Times New Roman"/>
          <w:color w:val="000000" w:themeColor="text1"/>
          <w:sz w:val="24"/>
          <w:szCs w:val="24"/>
          <w:vertAlign w:val="superscript"/>
          <w:lang w:eastAsia="fr-FR"/>
        </w:rPr>
        <w:t>er</w:t>
      </w:r>
      <w:r w:rsidR="00F30D77" w:rsidRPr="00F30D77">
        <w:rPr>
          <w:rFonts w:ascii="Times New Roman" w:eastAsia="Times New Roman" w:hAnsi="Times New Roman" w:cs="Times New Roman"/>
          <w:color w:val="000000" w:themeColor="text1"/>
          <w:sz w:val="24"/>
          <w:szCs w:val="24"/>
          <w:lang w:eastAsia="fr-FR"/>
        </w:rPr>
        <w:t xml:space="preserve"> mars 2024 a été signé pour le préfet des Alpes-Maritimes par M. Philippe Loos, secrétaire général de la préfecture des Alpes-Maritimes</w:t>
      </w:r>
      <w:r w:rsidR="00F6086C">
        <w:rPr>
          <w:rFonts w:ascii="Times New Roman" w:eastAsia="Times New Roman" w:hAnsi="Times New Roman" w:cs="Times New Roman"/>
          <w:color w:val="000000" w:themeColor="text1"/>
          <w:sz w:val="24"/>
          <w:szCs w:val="24"/>
          <w:lang w:eastAsia="fr-FR"/>
        </w:rPr>
        <w:t xml:space="preserve"> à la date dudit arrêté</w:t>
      </w:r>
      <w:r w:rsidR="00F30D77" w:rsidRPr="00F30D77">
        <w:rPr>
          <w:rFonts w:ascii="Times New Roman" w:eastAsia="Times New Roman" w:hAnsi="Times New Roman" w:cs="Times New Roman"/>
          <w:color w:val="000000" w:themeColor="text1"/>
          <w:sz w:val="24"/>
          <w:szCs w:val="24"/>
          <w:lang w:eastAsia="fr-FR"/>
        </w:rPr>
        <w:t xml:space="preserve">. Par un arrêté n° 2023-788 du 10 octobre 2023, publié au recueil des actes administratifs spécial n° 241.2023 du même jour, accessible tant aux juges qu’aux parties, M. Loos a reçu délégation à l’effet de signer, de manière permanente et au nom du préfet des Alpes-Maritimes, tous arrêtés, actes, circulaires et décisions relevant des attributions de l’Etat dans le département des Alpes-Maritimes au nombre desquels l’arrêté litigieux appartient, à l’exception des réquisitions prises en application de la loi du 11 juillet 1938, des arrêtés portant convocation des collèges électoraux et des déclinatoires de compétence et arrêtés de conflit. Dans ces conditions, et alors que la circonstance que les visas de l’arrêté litigieux ne mentionnent </w:t>
      </w:r>
      <w:r w:rsidR="00F30D77">
        <w:rPr>
          <w:rFonts w:ascii="Times New Roman" w:eastAsia="Times New Roman" w:hAnsi="Times New Roman" w:cs="Times New Roman"/>
          <w:color w:val="000000" w:themeColor="text1"/>
          <w:sz w:val="24"/>
          <w:szCs w:val="24"/>
          <w:lang w:eastAsia="fr-FR"/>
        </w:rPr>
        <w:t>pas</w:t>
      </w:r>
      <w:r w:rsidR="00F30D77" w:rsidRPr="00F30D77">
        <w:rPr>
          <w:rFonts w:ascii="Times New Roman" w:eastAsia="Times New Roman" w:hAnsi="Times New Roman" w:cs="Times New Roman"/>
          <w:color w:val="000000" w:themeColor="text1"/>
          <w:sz w:val="24"/>
          <w:szCs w:val="24"/>
          <w:lang w:eastAsia="fr-FR"/>
        </w:rPr>
        <w:t xml:space="preserve"> l’existence de cette délégation permanente de signature, est sans incidence sur sa légalité, le moyen tiré de l’incompétence de son signataire doit être écarté comme manquant en fait.</w:t>
      </w:r>
    </w:p>
    <w:p w14:paraId="032D4674" w14:textId="46897176" w:rsidR="00150F74" w:rsidRDefault="00150F74" w:rsidP="00F30D77">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50B9600C" w14:textId="003C7F93" w:rsidR="00150F74" w:rsidRDefault="00150F74" w:rsidP="00150F74">
      <w:pPr>
        <w:spacing w:after="0" w:line="240" w:lineRule="auto"/>
        <w:jc w:val="both"/>
        <w:rPr>
          <w:rFonts w:ascii="Times New Roman" w:eastAsia="Times New Roman" w:hAnsi="Times New Roman" w:cs="Times New Roman"/>
          <w:b/>
          <w:color w:val="000000" w:themeColor="text1"/>
          <w:sz w:val="24"/>
          <w:szCs w:val="24"/>
          <w:u w:val="single"/>
          <w:lang w:eastAsia="fr-FR"/>
        </w:rPr>
      </w:pPr>
      <w:r>
        <w:rPr>
          <w:rFonts w:ascii="Times New Roman" w:eastAsia="Times New Roman" w:hAnsi="Times New Roman" w:cs="Times New Roman"/>
          <w:b/>
          <w:color w:val="000000" w:themeColor="text1"/>
          <w:sz w:val="24"/>
          <w:szCs w:val="24"/>
          <w:u w:val="single"/>
          <w:lang w:eastAsia="fr-FR"/>
        </w:rPr>
        <w:t>Sur le moyen tiré de la prétendue</w:t>
      </w:r>
      <w:r w:rsidRPr="00150F74">
        <w:rPr>
          <w:rFonts w:ascii="Times New Roman" w:eastAsia="Times New Roman" w:hAnsi="Times New Roman" w:cs="Times New Roman"/>
          <w:b/>
          <w:color w:val="000000" w:themeColor="text1"/>
          <w:sz w:val="24"/>
          <w:szCs w:val="24"/>
          <w:u w:val="single"/>
          <w:lang w:eastAsia="fr-FR"/>
        </w:rPr>
        <w:t xml:space="preserve"> irrégularité affectant </w:t>
      </w:r>
      <w:r>
        <w:rPr>
          <w:rFonts w:ascii="Times New Roman" w:eastAsia="Times New Roman" w:hAnsi="Times New Roman" w:cs="Times New Roman"/>
          <w:b/>
          <w:color w:val="000000" w:themeColor="text1"/>
          <w:sz w:val="24"/>
          <w:szCs w:val="24"/>
          <w:u w:val="single"/>
          <w:lang w:eastAsia="fr-FR"/>
        </w:rPr>
        <w:t>l’enquête publique :</w:t>
      </w:r>
    </w:p>
    <w:p w14:paraId="2BF6EB71" w14:textId="4EE7A2FE" w:rsidR="00150F74" w:rsidRDefault="00150F74" w:rsidP="00150F74">
      <w:pPr>
        <w:spacing w:after="0" w:line="240" w:lineRule="auto"/>
        <w:ind w:firstLine="851"/>
        <w:jc w:val="both"/>
        <w:rPr>
          <w:rFonts w:ascii="Times New Roman" w:eastAsia="Times New Roman" w:hAnsi="Times New Roman" w:cs="Times New Roman"/>
          <w:b/>
          <w:color w:val="000000" w:themeColor="text1"/>
          <w:sz w:val="24"/>
          <w:szCs w:val="24"/>
          <w:u w:val="single"/>
          <w:lang w:eastAsia="fr-FR"/>
        </w:rPr>
      </w:pPr>
    </w:p>
    <w:p w14:paraId="2764C2B1" w14:textId="38DB7818" w:rsidR="00150F74" w:rsidRDefault="006853F4" w:rsidP="00150F74">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7</w:t>
      </w:r>
      <w:r w:rsidR="00150F74" w:rsidRPr="00150F74">
        <w:rPr>
          <w:rFonts w:ascii="Times New Roman" w:eastAsia="Times New Roman" w:hAnsi="Times New Roman" w:cs="Times New Roman"/>
          <w:color w:val="000000" w:themeColor="text1"/>
          <w:sz w:val="24"/>
          <w:szCs w:val="24"/>
          <w:lang w:eastAsia="fr-FR"/>
        </w:rPr>
        <w:t>. Les inexactitudes, omissions ou insuffisances affectant le dossier soumis à enquête publique ne sont susceptibles de vicier la procédure et ainsi d’entacher d’irrégularité l’autorisation que si elles ont eu pour effet de nuire à l’information de l’ensemble des personnes intéressées par l’opération ou si elles ont été de nature à exercer une influence sur les résultats de l’enquête et, par suite, sur la décision de l’autorité administrative.</w:t>
      </w:r>
    </w:p>
    <w:p w14:paraId="245BA29F" w14:textId="1E361D9B" w:rsidR="00150F74" w:rsidRDefault="00150F74" w:rsidP="00150F74">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1D1A82B3" w14:textId="39690DDF" w:rsidR="00150F74" w:rsidRPr="00150F74" w:rsidRDefault="006853F4" w:rsidP="00D01448">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8</w:t>
      </w:r>
      <w:r w:rsidR="00D01448">
        <w:rPr>
          <w:rFonts w:ascii="Times New Roman" w:eastAsia="Times New Roman" w:hAnsi="Times New Roman" w:cs="Times New Roman"/>
          <w:color w:val="000000" w:themeColor="text1"/>
          <w:sz w:val="24"/>
          <w:szCs w:val="24"/>
          <w:lang w:eastAsia="fr-FR"/>
        </w:rPr>
        <w:t xml:space="preserve">. En l’espèce, </w:t>
      </w:r>
      <w:r w:rsidR="00D01448" w:rsidRPr="00D01448">
        <w:rPr>
          <w:rFonts w:ascii="Times New Roman" w:eastAsia="Times New Roman" w:hAnsi="Times New Roman" w:cs="Times New Roman"/>
          <w:color w:val="000000" w:themeColor="text1"/>
          <w:sz w:val="24"/>
          <w:szCs w:val="24"/>
          <w:lang w:eastAsia="fr-FR"/>
        </w:rPr>
        <w:t xml:space="preserve">s’il est constant </w:t>
      </w:r>
      <w:r w:rsidR="00D01448">
        <w:rPr>
          <w:rFonts w:ascii="Times New Roman" w:eastAsia="Times New Roman" w:hAnsi="Times New Roman" w:cs="Times New Roman"/>
          <w:color w:val="000000" w:themeColor="text1"/>
          <w:sz w:val="24"/>
          <w:szCs w:val="24"/>
          <w:lang w:eastAsia="fr-FR"/>
        </w:rPr>
        <w:t xml:space="preserve">tel que cela ressort des pièces du dossier </w:t>
      </w:r>
      <w:r w:rsidR="00D01448" w:rsidRPr="00D01448">
        <w:rPr>
          <w:rFonts w:ascii="Times New Roman" w:eastAsia="Times New Roman" w:hAnsi="Times New Roman" w:cs="Times New Roman"/>
          <w:color w:val="000000" w:themeColor="text1"/>
          <w:sz w:val="24"/>
          <w:szCs w:val="24"/>
          <w:lang w:eastAsia="fr-FR"/>
        </w:rPr>
        <w:t xml:space="preserve">que l’enquête publique litigieuse s’est déroulée du 6 </w:t>
      </w:r>
      <w:r w:rsidR="00D01448">
        <w:rPr>
          <w:rFonts w:ascii="Times New Roman" w:eastAsia="Times New Roman" w:hAnsi="Times New Roman" w:cs="Times New Roman"/>
          <w:color w:val="000000" w:themeColor="text1"/>
          <w:sz w:val="24"/>
          <w:szCs w:val="24"/>
          <w:lang w:eastAsia="fr-FR"/>
        </w:rPr>
        <w:t xml:space="preserve">novembre au 7 décembre 2023, l’association requérante soutient </w:t>
      </w:r>
      <w:r w:rsidR="00D01448" w:rsidRPr="00D01448">
        <w:rPr>
          <w:rFonts w:ascii="Times New Roman" w:eastAsia="Times New Roman" w:hAnsi="Times New Roman" w:cs="Times New Roman"/>
          <w:color w:val="000000" w:themeColor="text1"/>
          <w:sz w:val="24"/>
          <w:szCs w:val="24"/>
          <w:lang w:eastAsia="fr-FR"/>
        </w:rPr>
        <w:t>néanmoins</w:t>
      </w:r>
      <w:r w:rsidR="00D01448">
        <w:rPr>
          <w:rFonts w:ascii="Times New Roman" w:eastAsia="Times New Roman" w:hAnsi="Times New Roman" w:cs="Times New Roman"/>
          <w:color w:val="000000" w:themeColor="text1"/>
          <w:sz w:val="24"/>
          <w:szCs w:val="24"/>
          <w:lang w:eastAsia="fr-FR"/>
        </w:rPr>
        <w:t>, dans sa seule requête introductive d’instance,</w:t>
      </w:r>
      <w:r w:rsidR="00D01448" w:rsidRPr="00D01448">
        <w:rPr>
          <w:rFonts w:ascii="Times New Roman" w:eastAsia="Times New Roman" w:hAnsi="Times New Roman" w:cs="Times New Roman"/>
          <w:color w:val="000000" w:themeColor="text1"/>
          <w:sz w:val="24"/>
          <w:szCs w:val="24"/>
          <w:lang w:eastAsia="fr-FR"/>
        </w:rPr>
        <w:t xml:space="preserve"> qu’un dysfonctionnement informatique a eu pour conséquence de rendre l’entier dossier de la dite enquête publique accessible qu’à compter du 18 novembre 2023 laissant ainsi, selon </w:t>
      </w:r>
      <w:r w:rsidR="00D01448">
        <w:rPr>
          <w:rFonts w:ascii="Times New Roman" w:eastAsia="Times New Roman" w:hAnsi="Times New Roman" w:cs="Times New Roman"/>
          <w:color w:val="000000" w:themeColor="text1"/>
          <w:sz w:val="24"/>
          <w:szCs w:val="24"/>
          <w:lang w:eastAsia="fr-FR"/>
        </w:rPr>
        <w:t>elle</w:t>
      </w:r>
      <w:r w:rsidR="00D01448" w:rsidRPr="00D01448">
        <w:rPr>
          <w:rFonts w:ascii="Times New Roman" w:eastAsia="Times New Roman" w:hAnsi="Times New Roman" w:cs="Times New Roman"/>
          <w:color w:val="000000" w:themeColor="text1"/>
          <w:sz w:val="24"/>
          <w:szCs w:val="24"/>
          <w:lang w:eastAsia="fr-FR"/>
        </w:rPr>
        <w:t>, au public un délai insuffisant pour partici</w:t>
      </w:r>
      <w:r w:rsidR="00D01448">
        <w:rPr>
          <w:rFonts w:ascii="Times New Roman" w:eastAsia="Times New Roman" w:hAnsi="Times New Roman" w:cs="Times New Roman"/>
          <w:color w:val="000000" w:themeColor="text1"/>
          <w:sz w:val="24"/>
          <w:szCs w:val="24"/>
          <w:lang w:eastAsia="fr-FR"/>
        </w:rPr>
        <w:t xml:space="preserve">per à cette enquête. Toutefois, </w:t>
      </w:r>
      <w:r w:rsidR="00D01448" w:rsidRPr="00D01448">
        <w:rPr>
          <w:rFonts w:ascii="Times New Roman" w:eastAsia="Times New Roman" w:hAnsi="Times New Roman" w:cs="Times New Roman"/>
          <w:color w:val="000000" w:themeColor="text1"/>
          <w:sz w:val="24"/>
          <w:szCs w:val="24"/>
          <w:lang w:eastAsia="fr-FR"/>
        </w:rPr>
        <w:t xml:space="preserve">il </w:t>
      </w:r>
      <w:r w:rsidR="00D01448">
        <w:rPr>
          <w:rFonts w:ascii="Times New Roman" w:eastAsia="Times New Roman" w:hAnsi="Times New Roman" w:cs="Times New Roman"/>
          <w:color w:val="000000" w:themeColor="text1"/>
          <w:sz w:val="24"/>
          <w:szCs w:val="24"/>
          <w:lang w:eastAsia="fr-FR"/>
        </w:rPr>
        <w:t>ressort des pièces du dossier</w:t>
      </w:r>
      <w:r w:rsidR="00D01448" w:rsidRPr="00D01448">
        <w:rPr>
          <w:rFonts w:ascii="Times New Roman" w:eastAsia="Times New Roman" w:hAnsi="Times New Roman" w:cs="Times New Roman"/>
          <w:color w:val="000000" w:themeColor="text1"/>
          <w:sz w:val="24"/>
          <w:szCs w:val="24"/>
          <w:lang w:eastAsia="fr-FR"/>
        </w:rPr>
        <w:t xml:space="preserve"> que les difficultés d’accessibilité au dossier de l’enquête publique concernaient seulement les utilisateurs de l’explorateur « </w:t>
      </w:r>
      <w:r w:rsidR="00E436D7">
        <w:rPr>
          <w:rFonts w:ascii="Times New Roman" w:eastAsia="Times New Roman" w:hAnsi="Times New Roman" w:cs="Times New Roman"/>
          <w:i/>
          <w:color w:val="000000" w:themeColor="text1"/>
          <w:sz w:val="24"/>
          <w:szCs w:val="24"/>
          <w:lang w:eastAsia="fr-FR"/>
        </w:rPr>
        <w:t>W</w:t>
      </w:r>
      <w:r w:rsidR="00D01448" w:rsidRPr="0030310E">
        <w:rPr>
          <w:rFonts w:ascii="Times New Roman" w:eastAsia="Times New Roman" w:hAnsi="Times New Roman" w:cs="Times New Roman"/>
          <w:i/>
          <w:color w:val="000000" w:themeColor="text1"/>
          <w:sz w:val="24"/>
          <w:szCs w:val="24"/>
          <w:lang w:eastAsia="fr-FR"/>
        </w:rPr>
        <w:t xml:space="preserve">indows </w:t>
      </w:r>
      <w:r w:rsidR="00D01448" w:rsidRPr="00D01448">
        <w:rPr>
          <w:rFonts w:ascii="Times New Roman" w:eastAsia="Times New Roman" w:hAnsi="Times New Roman" w:cs="Times New Roman"/>
          <w:color w:val="000000" w:themeColor="text1"/>
          <w:sz w:val="24"/>
          <w:szCs w:val="24"/>
          <w:lang w:eastAsia="fr-FR"/>
        </w:rPr>
        <w:t>» lesquels pouvaient aisément utiliser un autre explorateur et n’a</w:t>
      </w:r>
      <w:r w:rsidR="00D01448">
        <w:rPr>
          <w:rFonts w:ascii="Times New Roman" w:eastAsia="Times New Roman" w:hAnsi="Times New Roman" w:cs="Times New Roman"/>
          <w:color w:val="000000" w:themeColor="text1"/>
          <w:sz w:val="24"/>
          <w:szCs w:val="24"/>
          <w:lang w:eastAsia="fr-FR"/>
        </w:rPr>
        <w:t xml:space="preserve"> donc pas pour origine </w:t>
      </w:r>
      <w:r w:rsidR="00D01448" w:rsidRPr="00D01448">
        <w:rPr>
          <w:rFonts w:ascii="Times New Roman" w:eastAsia="Times New Roman" w:hAnsi="Times New Roman" w:cs="Times New Roman"/>
          <w:color w:val="000000" w:themeColor="text1"/>
          <w:sz w:val="24"/>
          <w:szCs w:val="24"/>
          <w:lang w:eastAsia="fr-FR"/>
        </w:rPr>
        <w:t xml:space="preserve">un dysfonctionnement informatique général alors qu’en outre, il ressort </w:t>
      </w:r>
      <w:r w:rsidR="00D01448">
        <w:rPr>
          <w:rFonts w:ascii="Times New Roman" w:eastAsia="Times New Roman" w:hAnsi="Times New Roman" w:cs="Times New Roman"/>
          <w:color w:val="000000" w:themeColor="text1"/>
          <w:sz w:val="24"/>
          <w:szCs w:val="24"/>
          <w:lang w:eastAsia="fr-FR"/>
        </w:rPr>
        <w:t>de ces mêmes pièces</w:t>
      </w:r>
      <w:r w:rsidR="0030310E">
        <w:rPr>
          <w:rFonts w:ascii="Times New Roman" w:eastAsia="Times New Roman" w:hAnsi="Times New Roman" w:cs="Times New Roman"/>
          <w:color w:val="000000" w:themeColor="text1"/>
          <w:sz w:val="24"/>
          <w:szCs w:val="24"/>
          <w:lang w:eastAsia="fr-FR"/>
        </w:rPr>
        <w:t xml:space="preserve">, que le public avait, en tout état de cause, </w:t>
      </w:r>
      <w:r w:rsidR="00D01448" w:rsidRPr="00D01448">
        <w:rPr>
          <w:rFonts w:ascii="Times New Roman" w:eastAsia="Times New Roman" w:hAnsi="Times New Roman" w:cs="Times New Roman"/>
          <w:color w:val="000000" w:themeColor="text1"/>
          <w:sz w:val="24"/>
          <w:szCs w:val="24"/>
          <w:lang w:eastAsia="fr-FR"/>
        </w:rPr>
        <w:t>accès à l’intégralité dudit dossier sous format papier à la mairie de Levens aux jours et heures d’ouverture des bureaux de la comm</w:t>
      </w:r>
      <w:r w:rsidR="00D01448">
        <w:rPr>
          <w:rFonts w:ascii="Times New Roman" w:eastAsia="Times New Roman" w:hAnsi="Times New Roman" w:cs="Times New Roman"/>
          <w:color w:val="000000" w:themeColor="text1"/>
          <w:sz w:val="24"/>
          <w:szCs w:val="24"/>
          <w:lang w:eastAsia="fr-FR"/>
        </w:rPr>
        <w:t xml:space="preserve">une. Dans ces conditions, le </w:t>
      </w:r>
      <w:r w:rsidR="00D01448" w:rsidRPr="00D01448">
        <w:rPr>
          <w:rFonts w:ascii="Times New Roman" w:eastAsia="Times New Roman" w:hAnsi="Times New Roman" w:cs="Times New Roman"/>
          <w:color w:val="000000" w:themeColor="text1"/>
          <w:sz w:val="24"/>
          <w:szCs w:val="24"/>
          <w:lang w:eastAsia="fr-FR"/>
        </w:rPr>
        <w:t>moyen tiré de l’irrégularité de l’enquête publique doit être écarté.</w:t>
      </w:r>
    </w:p>
    <w:p w14:paraId="3CCA456C" w14:textId="7332F0E7" w:rsidR="00F30D77" w:rsidRDefault="00F30D77" w:rsidP="00D01448">
      <w:pPr>
        <w:spacing w:after="0" w:line="240" w:lineRule="auto"/>
        <w:jc w:val="both"/>
        <w:rPr>
          <w:rFonts w:ascii="Times New Roman" w:eastAsia="Times New Roman" w:hAnsi="Times New Roman" w:cs="Times New Roman"/>
          <w:color w:val="000000" w:themeColor="text1"/>
          <w:sz w:val="24"/>
          <w:szCs w:val="24"/>
          <w:lang w:eastAsia="fr-FR"/>
        </w:rPr>
      </w:pPr>
    </w:p>
    <w:p w14:paraId="7EFC98C4" w14:textId="04616744" w:rsidR="00F30D77" w:rsidRDefault="00F30D77" w:rsidP="00C80B32">
      <w:pPr>
        <w:spacing w:after="0" w:line="240" w:lineRule="auto"/>
        <w:jc w:val="both"/>
        <w:rPr>
          <w:rFonts w:ascii="Times New Roman" w:eastAsia="Times New Roman" w:hAnsi="Times New Roman" w:cs="Times New Roman"/>
          <w:b/>
          <w:color w:val="000000" w:themeColor="text1"/>
          <w:sz w:val="24"/>
          <w:szCs w:val="24"/>
          <w:u w:val="single"/>
          <w:lang w:eastAsia="fr-FR"/>
        </w:rPr>
      </w:pPr>
      <w:r w:rsidRPr="00792285">
        <w:rPr>
          <w:rFonts w:ascii="Times New Roman" w:eastAsia="Times New Roman" w:hAnsi="Times New Roman" w:cs="Times New Roman"/>
          <w:b/>
          <w:color w:val="000000" w:themeColor="text1"/>
          <w:sz w:val="24"/>
          <w:szCs w:val="24"/>
          <w:u w:val="single"/>
          <w:lang w:eastAsia="fr-FR"/>
        </w:rPr>
        <w:t xml:space="preserve">Sur </w:t>
      </w:r>
      <w:r w:rsidR="00D104CC" w:rsidRPr="00792285">
        <w:rPr>
          <w:rFonts w:ascii="Times New Roman" w:eastAsia="Times New Roman" w:hAnsi="Times New Roman" w:cs="Times New Roman"/>
          <w:b/>
          <w:color w:val="000000" w:themeColor="text1"/>
          <w:sz w:val="24"/>
          <w:szCs w:val="24"/>
          <w:u w:val="single"/>
          <w:lang w:eastAsia="fr-FR"/>
        </w:rPr>
        <w:t xml:space="preserve">le </w:t>
      </w:r>
      <w:r w:rsidR="00792285" w:rsidRPr="00792285">
        <w:rPr>
          <w:rFonts w:ascii="Times New Roman" w:eastAsia="Times New Roman" w:hAnsi="Times New Roman" w:cs="Times New Roman"/>
          <w:b/>
          <w:color w:val="000000" w:themeColor="text1"/>
          <w:sz w:val="24"/>
          <w:szCs w:val="24"/>
          <w:u w:val="single"/>
          <w:lang w:eastAsia="fr-FR"/>
        </w:rPr>
        <w:t>moyen tiré de la prétendue méconnaissance des dispositions de l’article R. 431-5 du code de l’urbanisme :</w:t>
      </w:r>
    </w:p>
    <w:p w14:paraId="27C3418B" w14:textId="30424D26" w:rsidR="004E434E" w:rsidRDefault="004E434E" w:rsidP="00F30D77">
      <w:pPr>
        <w:spacing w:after="0" w:line="240" w:lineRule="auto"/>
        <w:ind w:firstLine="851"/>
        <w:jc w:val="both"/>
        <w:rPr>
          <w:rFonts w:ascii="Times New Roman" w:eastAsia="Times New Roman" w:hAnsi="Times New Roman" w:cs="Times New Roman"/>
          <w:b/>
          <w:color w:val="000000" w:themeColor="text1"/>
          <w:sz w:val="24"/>
          <w:szCs w:val="24"/>
          <w:u w:val="single"/>
          <w:lang w:eastAsia="fr-FR"/>
        </w:rPr>
      </w:pPr>
    </w:p>
    <w:p w14:paraId="7A96829E" w14:textId="3374C344" w:rsidR="004E434E" w:rsidRDefault="006853F4" w:rsidP="00F30D77">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9</w:t>
      </w:r>
      <w:r w:rsidR="004E434E" w:rsidRPr="004E434E">
        <w:rPr>
          <w:rFonts w:ascii="Times New Roman" w:eastAsia="Times New Roman" w:hAnsi="Times New Roman" w:cs="Times New Roman"/>
          <w:color w:val="000000" w:themeColor="text1"/>
          <w:sz w:val="24"/>
          <w:szCs w:val="24"/>
          <w:lang w:eastAsia="fr-FR"/>
        </w:rPr>
        <w:t xml:space="preserve">. </w:t>
      </w:r>
      <w:r w:rsidR="004E434E">
        <w:rPr>
          <w:rFonts w:ascii="Times New Roman" w:eastAsia="Times New Roman" w:hAnsi="Times New Roman" w:cs="Times New Roman"/>
          <w:color w:val="000000" w:themeColor="text1"/>
          <w:sz w:val="24"/>
          <w:szCs w:val="24"/>
          <w:lang w:eastAsia="fr-FR"/>
        </w:rPr>
        <w:t>En premier lieu et d’une part, aux termes de l</w:t>
      </w:r>
      <w:r w:rsidR="004E434E" w:rsidRPr="004E434E">
        <w:rPr>
          <w:rFonts w:ascii="Times New Roman" w:eastAsia="Times New Roman" w:hAnsi="Times New Roman" w:cs="Times New Roman"/>
          <w:color w:val="000000" w:themeColor="text1"/>
          <w:sz w:val="24"/>
          <w:szCs w:val="24"/>
          <w:lang w:eastAsia="fr-FR"/>
        </w:rPr>
        <w:t>’article L. 214-1 du code de l’environnement</w:t>
      </w:r>
      <w:r w:rsidR="004E434E">
        <w:rPr>
          <w:rFonts w:ascii="Times New Roman" w:eastAsia="Times New Roman" w:hAnsi="Times New Roman" w:cs="Times New Roman"/>
          <w:color w:val="000000" w:themeColor="text1"/>
          <w:sz w:val="24"/>
          <w:szCs w:val="24"/>
          <w:lang w:eastAsia="fr-FR"/>
        </w:rPr>
        <w:t> : « </w:t>
      </w:r>
      <w:r w:rsidR="004E434E" w:rsidRPr="004E434E">
        <w:rPr>
          <w:rFonts w:ascii="Times New Roman" w:eastAsia="Times New Roman" w:hAnsi="Times New Roman" w:cs="Times New Roman"/>
          <w:i/>
          <w:color w:val="000000" w:themeColor="text1"/>
          <w:sz w:val="24"/>
          <w:szCs w:val="24"/>
          <w:lang w:eastAsia="fr-FR"/>
        </w:rPr>
        <w:t xml:space="preserve">Sont soumis aux dispositions des articles L. 214-2 à L. 214-6 les installations, les ouvrages, travaux et activités réalisés à des fins non domestiques par toute </w:t>
      </w:r>
      <w:r w:rsidR="004E434E" w:rsidRPr="004E434E">
        <w:rPr>
          <w:rFonts w:ascii="Times New Roman" w:eastAsia="Times New Roman" w:hAnsi="Times New Roman" w:cs="Times New Roman"/>
          <w:i/>
          <w:color w:val="000000" w:themeColor="text1"/>
          <w:sz w:val="24"/>
          <w:szCs w:val="24"/>
          <w:lang w:eastAsia="fr-FR"/>
        </w:rPr>
        <w:lastRenderedPageBreak/>
        <w:t>personne physique ou morale, publique ou privée, et entraînant des prélèvements sur les eaux superficielles ou souterraines, restitués ou non, une modification du niveau ou du mode d'écoulement des eaux, la destruction de frayères, de zones de croissance ou d'alimentation de la faune piscicole ou des déversements, écoulements, rejets ou dépôts directs ou indirects, chroniques ou épisodiques, même non polluants</w:t>
      </w:r>
      <w:r w:rsidR="004E434E">
        <w:rPr>
          <w:rFonts w:ascii="Times New Roman" w:eastAsia="Times New Roman" w:hAnsi="Times New Roman" w:cs="Times New Roman"/>
          <w:color w:val="000000" w:themeColor="text1"/>
          <w:sz w:val="24"/>
          <w:szCs w:val="24"/>
          <w:lang w:eastAsia="fr-FR"/>
        </w:rPr>
        <w:t> ». A</w:t>
      </w:r>
      <w:r w:rsidR="004E434E" w:rsidRPr="004E434E">
        <w:rPr>
          <w:rFonts w:ascii="Times New Roman" w:eastAsia="Times New Roman" w:hAnsi="Times New Roman" w:cs="Times New Roman"/>
          <w:color w:val="000000" w:themeColor="text1"/>
          <w:sz w:val="24"/>
          <w:szCs w:val="24"/>
          <w:lang w:eastAsia="fr-FR"/>
        </w:rPr>
        <w:t>ux termes de l’article L. 214-2 du même code</w:t>
      </w:r>
      <w:r w:rsidR="004E434E">
        <w:rPr>
          <w:rFonts w:ascii="Times New Roman" w:eastAsia="Times New Roman" w:hAnsi="Times New Roman" w:cs="Times New Roman"/>
          <w:color w:val="000000" w:themeColor="text1"/>
          <w:sz w:val="24"/>
          <w:szCs w:val="24"/>
          <w:lang w:eastAsia="fr-FR"/>
        </w:rPr>
        <w:t> : « </w:t>
      </w:r>
      <w:r w:rsidR="004E434E" w:rsidRPr="004E434E">
        <w:rPr>
          <w:rFonts w:ascii="Times New Roman" w:eastAsia="Times New Roman" w:hAnsi="Times New Roman" w:cs="Times New Roman"/>
          <w:i/>
          <w:color w:val="000000" w:themeColor="text1"/>
          <w:sz w:val="24"/>
          <w:szCs w:val="24"/>
          <w:lang w:eastAsia="fr-FR"/>
        </w:rPr>
        <w:t>Les installations, ouvrages, travaux et activités visés à l'article L. 214-1 sont définis dans une nomenclature, établie par décret en Conseil d'Etat après avis du Comité national de l'eau, et soumis à autorisation ou à déclaration suivant les dangers qu'ils présentent et la gravité de leurs effets sur la ressource en eau et les écosystèmes aquatiques compte tenu notamment de l'existence des zones et périmètres institués pour la protection de l'eau et des milieux aquatiques. / (…)</w:t>
      </w:r>
      <w:r w:rsidR="004E434E">
        <w:rPr>
          <w:rFonts w:ascii="Times New Roman" w:eastAsia="Times New Roman" w:hAnsi="Times New Roman" w:cs="Times New Roman"/>
          <w:color w:val="000000" w:themeColor="text1"/>
          <w:sz w:val="24"/>
          <w:szCs w:val="24"/>
          <w:lang w:eastAsia="fr-FR"/>
        </w:rPr>
        <w:t xml:space="preserve"> ». </w:t>
      </w:r>
      <w:r w:rsidR="004E434E" w:rsidRPr="004E434E">
        <w:rPr>
          <w:rFonts w:ascii="Times New Roman" w:eastAsia="Times New Roman" w:hAnsi="Times New Roman" w:cs="Times New Roman"/>
          <w:color w:val="000000" w:themeColor="text1"/>
          <w:sz w:val="24"/>
          <w:szCs w:val="24"/>
          <w:lang w:eastAsia="fr-FR"/>
        </w:rPr>
        <w:t xml:space="preserve">Aux termes </w:t>
      </w:r>
      <w:r w:rsidR="004E434E">
        <w:rPr>
          <w:rFonts w:ascii="Times New Roman" w:eastAsia="Times New Roman" w:hAnsi="Times New Roman" w:cs="Times New Roman"/>
          <w:color w:val="000000" w:themeColor="text1"/>
          <w:sz w:val="24"/>
          <w:szCs w:val="24"/>
          <w:lang w:eastAsia="fr-FR"/>
        </w:rPr>
        <w:t>de l’article R. 214-1 de ce même code : « </w:t>
      </w:r>
      <w:r w:rsidR="004E434E" w:rsidRPr="004E434E">
        <w:rPr>
          <w:rFonts w:ascii="Times New Roman" w:eastAsia="Times New Roman" w:hAnsi="Times New Roman" w:cs="Times New Roman"/>
          <w:i/>
          <w:color w:val="000000" w:themeColor="text1"/>
          <w:sz w:val="24"/>
          <w:szCs w:val="24"/>
          <w:lang w:eastAsia="fr-FR"/>
        </w:rPr>
        <w:t>La nomenclature des installations, ouvrages, travaux et activités soumis à autorisation ou à déclaration en application des articles L. 214-1 à L. 214-6 figure au tableau annexé au présent article. / (…)</w:t>
      </w:r>
      <w:r w:rsidR="00F6086C">
        <w:rPr>
          <w:rFonts w:ascii="Times New Roman" w:eastAsia="Times New Roman" w:hAnsi="Times New Roman" w:cs="Times New Roman"/>
          <w:color w:val="000000" w:themeColor="text1"/>
          <w:sz w:val="24"/>
          <w:szCs w:val="24"/>
          <w:lang w:eastAsia="fr-FR"/>
        </w:rPr>
        <w:t xml:space="preserve"> ». Enfin, il est constant </w:t>
      </w:r>
      <w:r w:rsidR="004E434E">
        <w:rPr>
          <w:rFonts w:ascii="Times New Roman" w:eastAsia="Times New Roman" w:hAnsi="Times New Roman" w:cs="Times New Roman"/>
          <w:color w:val="000000" w:themeColor="text1"/>
          <w:sz w:val="24"/>
          <w:szCs w:val="24"/>
          <w:lang w:eastAsia="fr-FR"/>
        </w:rPr>
        <w:t>qu’e</w:t>
      </w:r>
      <w:r w:rsidR="004E434E" w:rsidRPr="004E434E">
        <w:rPr>
          <w:rFonts w:ascii="Times New Roman" w:eastAsia="Times New Roman" w:hAnsi="Times New Roman" w:cs="Times New Roman"/>
          <w:color w:val="000000" w:themeColor="text1"/>
          <w:sz w:val="24"/>
          <w:szCs w:val="24"/>
          <w:lang w:eastAsia="fr-FR"/>
        </w:rPr>
        <w:t>n vertu de la rubriqu</w:t>
      </w:r>
      <w:r w:rsidR="004E434E">
        <w:rPr>
          <w:rFonts w:ascii="Times New Roman" w:eastAsia="Times New Roman" w:hAnsi="Times New Roman" w:cs="Times New Roman"/>
          <w:color w:val="000000" w:themeColor="text1"/>
          <w:sz w:val="24"/>
          <w:szCs w:val="24"/>
          <w:lang w:eastAsia="fr-FR"/>
        </w:rPr>
        <w:t xml:space="preserve">e 2.1.5.0 du tableau annexé à cet </w:t>
      </w:r>
      <w:r w:rsidR="004E434E" w:rsidRPr="004E434E">
        <w:rPr>
          <w:rFonts w:ascii="Times New Roman" w:eastAsia="Times New Roman" w:hAnsi="Times New Roman" w:cs="Times New Roman"/>
          <w:color w:val="000000" w:themeColor="text1"/>
          <w:sz w:val="24"/>
          <w:szCs w:val="24"/>
          <w:lang w:eastAsia="fr-FR"/>
        </w:rPr>
        <w:t>article R. 214-1 du code de l’environnement, le rejet d’eaux pluviales dans les eaux douces superficielles ou sur le sol ou dans le sous-sol, lorsque la surface totale du projet augmentée de la surface correspondant à la partie du bassin naturel dont les écoulements sont interceptés par le projet est supérieure à 1 hectare mais inférieure à 20 hectares, est soumis à déclaration en application des articles L. 214-1 à L. 214-6 du même code.</w:t>
      </w:r>
    </w:p>
    <w:p w14:paraId="6AEE7888" w14:textId="06A327BD" w:rsidR="004E434E" w:rsidRDefault="004E434E" w:rsidP="00F30D77">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5CE5E346" w14:textId="456E679D" w:rsidR="0067333E" w:rsidRDefault="006853F4" w:rsidP="0067333E">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10</w:t>
      </w:r>
      <w:r w:rsidR="004E434E">
        <w:rPr>
          <w:rFonts w:ascii="Times New Roman" w:eastAsia="Times New Roman" w:hAnsi="Times New Roman" w:cs="Times New Roman"/>
          <w:color w:val="000000" w:themeColor="text1"/>
          <w:sz w:val="24"/>
          <w:szCs w:val="24"/>
          <w:lang w:eastAsia="fr-FR"/>
        </w:rPr>
        <w:t xml:space="preserve">. D’autre part, </w:t>
      </w:r>
      <w:r w:rsidR="0067333E">
        <w:rPr>
          <w:rFonts w:ascii="Times New Roman" w:eastAsia="Times New Roman" w:hAnsi="Times New Roman" w:cs="Times New Roman"/>
          <w:color w:val="000000" w:themeColor="text1"/>
          <w:sz w:val="24"/>
          <w:szCs w:val="24"/>
          <w:lang w:eastAsia="fr-FR"/>
        </w:rPr>
        <w:t>aux termes du cinquième alinéa de l’article L. 181-1 du code de l’environnement : « </w:t>
      </w:r>
      <w:r w:rsidR="0067333E" w:rsidRPr="0067333E">
        <w:rPr>
          <w:rFonts w:ascii="Times New Roman" w:eastAsia="Times New Roman" w:hAnsi="Times New Roman" w:cs="Times New Roman"/>
          <w:i/>
          <w:color w:val="000000" w:themeColor="text1"/>
          <w:sz w:val="24"/>
          <w:szCs w:val="24"/>
          <w:lang w:eastAsia="fr-FR"/>
        </w:rPr>
        <w:t>[L'autorisation environnementale] est également applicable aux projets mentionnés au deuxième alinéa du II de l'article L. 122-1-1 lorsque l'autorité administrative compétente pour délivrer l'autorisation est le préfet (…)</w:t>
      </w:r>
      <w:r w:rsidR="0067333E">
        <w:rPr>
          <w:rFonts w:ascii="Times New Roman" w:eastAsia="Times New Roman" w:hAnsi="Times New Roman" w:cs="Times New Roman"/>
          <w:color w:val="000000" w:themeColor="text1"/>
          <w:sz w:val="24"/>
          <w:szCs w:val="24"/>
          <w:lang w:eastAsia="fr-FR"/>
        </w:rPr>
        <w:t xml:space="preserve"> ». En outre, aux termes du </w:t>
      </w:r>
      <w:r w:rsidR="0067333E" w:rsidRPr="0067333E">
        <w:rPr>
          <w:rFonts w:ascii="Times New Roman" w:eastAsia="Times New Roman" w:hAnsi="Times New Roman" w:cs="Times New Roman"/>
          <w:color w:val="000000" w:themeColor="text1"/>
          <w:sz w:val="24"/>
          <w:szCs w:val="24"/>
          <w:lang w:eastAsia="fr-FR"/>
        </w:rPr>
        <w:t>deuxième alinéa du II de l'article L. 122-1-1</w:t>
      </w:r>
      <w:r w:rsidR="0067333E">
        <w:rPr>
          <w:rFonts w:ascii="Times New Roman" w:eastAsia="Times New Roman" w:hAnsi="Times New Roman" w:cs="Times New Roman"/>
          <w:color w:val="000000" w:themeColor="text1"/>
          <w:sz w:val="24"/>
          <w:szCs w:val="24"/>
          <w:lang w:eastAsia="fr-FR"/>
        </w:rPr>
        <w:t> : « </w:t>
      </w:r>
      <w:r w:rsidR="0067333E" w:rsidRPr="0067333E">
        <w:rPr>
          <w:rFonts w:ascii="Times New Roman" w:eastAsia="Times New Roman" w:hAnsi="Times New Roman" w:cs="Times New Roman"/>
          <w:i/>
          <w:color w:val="000000" w:themeColor="text1"/>
          <w:sz w:val="24"/>
          <w:szCs w:val="24"/>
          <w:lang w:eastAsia="fr-FR"/>
        </w:rPr>
        <w:t>Lorsqu'un projet soumis à évaluation environnementale relève d'un régime déclaratif, il est autorisé par une décision de l'autorité compétente pour délivrer le récépissé de déclaration, qui contient les éléments mentionnés au I</w:t>
      </w:r>
      <w:r w:rsidR="0067333E">
        <w:rPr>
          <w:rFonts w:ascii="Times New Roman" w:eastAsia="Times New Roman" w:hAnsi="Times New Roman" w:cs="Times New Roman"/>
          <w:color w:val="000000" w:themeColor="text1"/>
          <w:sz w:val="24"/>
          <w:szCs w:val="24"/>
          <w:lang w:eastAsia="fr-FR"/>
        </w:rPr>
        <w:t xml:space="preserve"> ». </w:t>
      </w:r>
    </w:p>
    <w:p w14:paraId="23CC8CD5" w14:textId="77777777" w:rsidR="0067333E" w:rsidRDefault="0067333E" w:rsidP="0067333E">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3C384238" w14:textId="5D6A1D55" w:rsidR="004E434E" w:rsidRDefault="006853F4" w:rsidP="00D84905">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11</w:t>
      </w:r>
      <w:r w:rsidR="0067333E">
        <w:rPr>
          <w:rFonts w:ascii="Times New Roman" w:eastAsia="Times New Roman" w:hAnsi="Times New Roman" w:cs="Times New Roman"/>
          <w:color w:val="000000" w:themeColor="text1"/>
          <w:sz w:val="24"/>
          <w:szCs w:val="24"/>
          <w:lang w:eastAsia="fr-FR"/>
        </w:rPr>
        <w:t xml:space="preserve">. Enfin, </w:t>
      </w:r>
      <w:r w:rsidR="004E434E">
        <w:rPr>
          <w:rFonts w:ascii="Times New Roman" w:eastAsia="Times New Roman" w:hAnsi="Times New Roman" w:cs="Times New Roman"/>
          <w:color w:val="000000" w:themeColor="text1"/>
          <w:sz w:val="24"/>
          <w:szCs w:val="24"/>
          <w:lang w:eastAsia="fr-FR"/>
        </w:rPr>
        <w:t>aux termes de l’article R.* 431-5 du code de l’urbanisme : « </w:t>
      </w:r>
      <w:r w:rsidR="004E434E" w:rsidRPr="004E434E">
        <w:rPr>
          <w:rFonts w:ascii="Times New Roman" w:eastAsia="Times New Roman" w:hAnsi="Times New Roman" w:cs="Times New Roman"/>
          <w:i/>
          <w:color w:val="000000" w:themeColor="text1"/>
          <w:sz w:val="24"/>
          <w:szCs w:val="24"/>
          <w:lang w:eastAsia="fr-FR"/>
        </w:rPr>
        <w:t xml:space="preserve">La demande de permis de construire précise : / (…) i) S'il y a lieu, que les travaux portent sur une installation, un ouvrage, des travaux ou une activité soumis à déclaration en application de la section 1 du chapitre IV du titre Ier du livre II du code de l'environnement ; / </w:t>
      </w:r>
      <w:r w:rsidR="00D84905" w:rsidRPr="00D84905">
        <w:rPr>
          <w:rFonts w:ascii="Times New Roman" w:eastAsia="Times New Roman" w:hAnsi="Times New Roman" w:cs="Times New Roman"/>
          <w:i/>
          <w:color w:val="000000" w:themeColor="text1"/>
          <w:sz w:val="24"/>
          <w:szCs w:val="24"/>
          <w:lang w:eastAsia="fr-FR"/>
        </w:rPr>
        <w:t>j) S'il y a lieu, que les travaux portent sur un projet soumis à autorisation environnementale en application de l'article L. 181-1 du code de l'environnement ;</w:t>
      </w:r>
      <w:r w:rsidR="00D84905">
        <w:rPr>
          <w:rFonts w:ascii="Times New Roman" w:eastAsia="Times New Roman" w:hAnsi="Times New Roman" w:cs="Times New Roman"/>
          <w:i/>
          <w:color w:val="000000" w:themeColor="text1"/>
          <w:sz w:val="24"/>
          <w:szCs w:val="24"/>
          <w:lang w:eastAsia="fr-FR"/>
        </w:rPr>
        <w:t xml:space="preserve"> / (…) ». </w:t>
      </w:r>
      <w:r w:rsidR="004E434E">
        <w:rPr>
          <w:rFonts w:ascii="Times New Roman" w:eastAsia="Times New Roman" w:hAnsi="Times New Roman" w:cs="Times New Roman"/>
          <w:color w:val="000000" w:themeColor="text1"/>
          <w:sz w:val="24"/>
          <w:szCs w:val="24"/>
          <w:lang w:eastAsia="fr-FR"/>
        </w:rPr>
        <w:t>Aux termes de l’article L. 425-14 de ce même code : « </w:t>
      </w:r>
      <w:r w:rsidR="004E434E" w:rsidRPr="00D84905">
        <w:rPr>
          <w:rFonts w:ascii="Times New Roman" w:eastAsia="Times New Roman" w:hAnsi="Times New Roman" w:cs="Times New Roman"/>
          <w:i/>
          <w:color w:val="000000" w:themeColor="text1"/>
          <w:sz w:val="24"/>
          <w:szCs w:val="24"/>
          <w:lang w:eastAsia="fr-FR"/>
        </w:rPr>
        <w:t>Sans préjudice du deuxième alinéa de l'article L. 181-30 du code de l'environnement, lorsque le projet est soumis à autorisation environnementale, en application du chapitre unique du titre VIII du livre Ier du même code, ou à déclaration, en application de la section 1 du chapitre IV du titre Ier du livre II dudit code, le permis ou la décision de non-opposition à déclaration préalable ne peut pas être mis en œuvre :</w:t>
      </w:r>
      <w:r w:rsidR="00D84905" w:rsidRPr="00D84905">
        <w:rPr>
          <w:rFonts w:ascii="Times New Roman" w:hAnsi="Times New Roman" w:cs="Times New Roman"/>
          <w:i/>
          <w:sz w:val="24"/>
          <w:szCs w:val="24"/>
        </w:rPr>
        <w:t xml:space="preserve"> / </w:t>
      </w:r>
      <w:r w:rsidR="00D84905" w:rsidRPr="00D84905">
        <w:rPr>
          <w:rFonts w:ascii="Times New Roman" w:eastAsia="Times New Roman" w:hAnsi="Times New Roman" w:cs="Times New Roman"/>
          <w:i/>
          <w:color w:val="000000" w:themeColor="text1"/>
          <w:sz w:val="24"/>
          <w:szCs w:val="24"/>
          <w:lang w:eastAsia="fr-FR"/>
        </w:rPr>
        <w:t xml:space="preserve">1° Avant la délivrance de l'autorisation environnementale mentionnée à l'article L. 181-1 du même code, sauf décision spéciale prévue à l'article L. 181-30 du même code ; / </w:t>
      </w:r>
      <w:r w:rsidR="00131B0D" w:rsidRPr="00131B0D">
        <w:rPr>
          <w:rFonts w:ascii="Times New Roman" w:eastAsia="Times New Roman" w:hAnsi="Times New Roman" w:cs="Times New Roman"/>
          <w:i/>
          <w:color w:val="000000" w:themeColor="text1"/>
          <w:sz w:val="24"/>
          <w:szCs w:val="24"/>
          <w:lang w:eastAsia="fr-FR"/>
        </w:rPr>
        <w:t xml:space="preserve">2° Avant la décision d'acceptation, pour les installations, ouvrages, travaux et activités soumis à déclaration en application du II de </w:t>
      </w:r>
      <w:r w:rsidR="00131B0D">
        <w:rPr>
          <w:rFonts w:ascii="Times New Roman" w:eastAsia="Times New Roman" w:hAnsi="Times New Roman" w:cs="Times New Roman"/>
          <w:i/>
          <w:color w:val="000000" w:themeColor="text1"/>
          <w:sz w:val="24"/>
          <w:szCs w:val="24"/>
          <w:lang w:eastAsia="fr-FR"/>
        </w:rPr>
        <w:t xml:space="preserve">l'article L. 214-3 du même code ». </w:t>
      </w:r>
    </w:p>
    <w:p w14:paraId="5ACA03BF" w14:textId="55B8EA7E" w:rsidR="00D84905" w:rsidRDefault="00D84905" w:rsidP="00D84905">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0AF17A2A" w14:textId="698457D8" w:rsidR="00CD32EB" w:rsidRDefault="006853F4" w:rsidP="00CD32EB">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12</w:t>
      </w:r>
      <w:r w:rsidR="00D84905" w:rsidRPr="00CD5C84">
        <w:rPr>
          <w:rFonts w:ascii="Times New Roman" w:eastAsia="Times New Roman" w:hAnsi="Times New Roman" w:cs="Times New Roman"/>
          <w:color w:val="000000" w:themeColor="text1"/>
          <w:sz w:val="24"/>
          <w:szCs w:val="24"/>
          <w:lang w:eastAsia="fr-FR"/>
        </w:rPr>
        <w:t xml:space="preserve">. En l’espèce, l’allégation </w:t>
      </w:r>
      <w:r w:rsidR="00656946">
        <w:rPr>
          <w:rFonts w:ascii="Times New Roman" w:eastAsia="Times New Roman" w:hAnsi="Times New Roman" w:cs="Times New Roman"/>
          <w:color w:val="000000" w:themeColor="text1"/>
          <w:sz w:val="24"/>
          <w:szCs w:val="24"/>
          <w:lang w:eastAsia="fr-FR"/>
        </w:rPr>
        <w:t>de l’association requérante</w:t>
      </w:r>
      <w:r w:rsidR="00D84905" w:rsidRPr="00CD5C84">
        <w:rPr>
          <w:rFonts w:ascii="Times New Roman" w:eastAsia="Times New Roman" w:hAnsi="Times New Roman" w:cs="Times New Roman"/>
          <w:color w:val="000000" w:themeColor="text1"/>
          <w:sz w:val="24"/>
          <w:szCs w:val="24"/>
          <w:lang w:eastAsia="fr-FR"/>
        </w:rPr>
        <w:t xml:space="preserve"> selon laquelle le projet, objet du permis de construire attaqué, était soumis à une régime déclaratif en application de la rubrique précitée </w:t>
      </w:r>
      <w:r w:rsidR="00131B0D" w:rsidRPr="00CD5C84">
        <w:rPr>
          <w:rFonts w:ascii="Times New Roman" w:eastAsia="Times New Roman" w:hAnsi="Times New Roman" w:cs="Times New Roman"/>
          <w:color w:val="000000" w:themeColor="text1"/>
          <w:sz w:val="24"/>
          <w:szCs w:val="24"/>
          <w:lang w:eastAsia="fr-FR"/>
        </w:rPr>
        <w:t>2.1.5.0 de la nomenclature mentionnée à l’article R. 214-1 du code de l’environnement n’est pas utilement contestée ni par le préfet des Alpes-Maritimes ni par la société pétitionnaire en dépit de la circonstance que le point 7.1.5 de l’étude d’impact (</w:t>
      </w:r>
      <w:r w:rsidR="00131B0D" w:rsidRPr="00B17D7E">
        <w:rPr>
          <w:rFonts w:ascii="Times New Roman" w:eastAsia="Times New Roman" w:hAnsi="Times New Roman" w:cs="Times New Roman"/>
          <w:i/>
          <w:color w:val="000000" w:themeColor="text1"/>
          <w:sz w:val="24"/>
          <w:szCs w:val="24"/>
          <w:lang w:eastAsia="fr-FR"/>
        </w:rPr>
        <w:t>page 399</w:t>
      </w:r>
      <w:r w:rsidR="00131B0D" w:rsidRPr="00CD5C84">
        <w:rPr>
          <w:rFonts w:ascii="Times New Roman" w:eastAsia="Times New Roman" w:hAnsi="Times New Roman" w:cs="Times New Roman"/>
          <w:color w:val="000000" w:themeColor="text1"/>
          <w:sz w:val="24"/>
          <w:szCs w:val="24"/>
          <w:lang w:eastAsia="fr-FR"/>
        </w:rPr>
        <w:t>) justifie, de manière peu convaincante, l’exclusion</w:t>
      </w:r>
      <w:r w:rsidR="00CD32EB">
        <w:rPr>
          <w:rFonts w:ascii="Times New Roman" w:eastAsia="Times New Roman" w:hAnsi="Times New Roman" w:cs="Times New Roman"/>
          <w:color w:val="000000" w:themeColor="text1"/>
          <w:sz w:val="24"/>
          <w:szCs w:val="24"/>
          <w:lang w:eastAsia="fr-FR"/>
        </w:rPr>
        <w:t xml:space="preserve">, en l’espèce, </w:t>
      </w:r>
      <w:r w:rsidR="00131B0D" w:rsidRPr="00CD5C84">
        <w:rPr>
          <w:rFonts w:ascii="Times New Roman" w:eastAsia="Times New Roman" w:hAnsi="Times New Roman" w:cs="Times New Roman"/>
          <w:color w:val="000000" w:themeColor="text1"/>
          <w:sz w:val="24"/>
          <w:szCs w:val="24"/>
          <w:lang w:eastAsia="fr-FR"/>
        </w:rPr>
        <w:t xml:space="preserve">d’un tel régime déclaratif. </w:t>
      </w:r>
      <w:r w:rsidR="00131B0D" w:rsidRPr="00CD5C84">
        <w:rPr>
          <w:rFonts w:ascii="Times New Roman" w:eastAsia="Times New Roman" w:hAnsi="Times New Roman" w:cs="Times New Roman"/>
          <w:color w:val="000000" w:themeColor="text1"/>
          <w:sz w:val="24"/>
          <w:szCs w:val="24"/>
          <w:lang w:eastAsia="fr-FR"/>
        </w:rPr>
        <w:lastRenderedPageBreak/>
        <w:t xml:space="preserve">Dans ces conditions, </w:t>
      </w:r>
      <w:r w:rsidR="00CD5C84" w:rsidRPr="00CD5C84">
        <w:rPr>
          <w:rFonts w:ascii="Times New Roman" w:eastAsia="Times New Roman" w:hAnsi="Times New Roman" w:cs="Times New Roman"/>
          <w:color w:val="000000" w:themeColor="text1"/>
          <w:sz w:val="24"/>
          <w:szCs w:val="24"/>
          <w:lang w:eastAsia="fr-FR"/>
        </w:rPr>
        <w:t xml:space="preserve">l’association requérante est fondée à </w:t>
      </w:r>
      <w:r w:rsidR="00CD5C84">
        <w:rPr>
          <w:rFonts w:ascii="Times New Roman" w:eastAsia="Times New Roman" w:hAnsi="Times New Roman" w:cs="Times New Roman"/>
          <w:color w:val="000000" w:themeColor="text1"/>
          <w:sz w:val="24"/>
          <w:szCs w:val="24"/>
          <w:lang w:eastAsia="fr-FR"/>
        </w:rPr>
        <w:t>soutenir, qu’</w:t>
      </w:r>
      <w:r w:rsidR="00CD5C84" w:rsidRPr="00CD5C84">
        <w:rPr>
          <w:rFonts w:ascii="Times New Roman" w:eastAsia="Times New Roman" w:hAnsi="Times New Roman" w:cs="Times New Roman"/>
          <w:color w:val="000000" w:themeColor="text1"/>
          <w:sz w:val="24"/>
          <w:szCs w:val="24"/>
          <w:lang w:eastAsia="fr-FR"/>
        </w:rPr>
        <w:t>au regard des exigences imposées par les dispositions de l’article R.* 431-5 du code de l’urbanisme</w:t>
      </w:r>
      <w:r w:rsidR="00CD5C84">
        <w:rPr>
          <w:rFonts w:ascii="Times New Roman" w:eastAsia="Times New Roman" w:hAnsi="Times New Roman" w:cs="Times New Roman"/>
          <w:color w:val="000000" w:themeColor="text1"/>
          <w:sz w:val="24"/>
          <w:szCs w:val="24"/>
          <w:lang w:eastAsia="fr-FR"/>
        </w:rPr>
        <w:t xml:space="preserve">, la demande de permis de construire litigieuse aurait dû </w:t>
      </w:r>
      <w:r w:rsidR="00CD5C84" w:rsidRPr="00CD5C84">
        <w:rPr>
          <w:rFonts w:ascii="Times New Roman" w:eastAsia="Times New Roman" w:hAnsi="Times New Roman" w:cs="Times New Roman"/>
          <w:color w:val="000000" w:themeColor="text1"/>
          <w:sz w:val="24"/>
          <w:szCs w:val="24"/>
          <w:lang w:eastAsia="fr-FR"/>
        </w:rPr>
        <w:t>mentionne</w:t>
      </w:r>
      <w:r w:rsidR="00CD5C84">
        <w:rPr>
          <w:rFonts w:ascii="Times New Roman" w:eastAsia="Times New Roman" w:hAnsi="Times New Roman" w:cs="Times New Roman"/>
          <w:color w:val="000000" w:themeColor="text1"/>
          <w:sz w:val="24"/>
          <w:szCs w:val="24"/>
          <w:lang w:eastAsia="fr-FR"/>
        </w:rPr>
        <w:t xml:space="preserve">r </w:t>
      </w:r>
      <w:r w:rsidR="00CD5C84" w:rsidRPr="00CD5C84">
        <w:rPr>
          <w:rFonts w:ascii="Times New Roman" w:eastAsia="Times New Roman" w:hAnsi="Times New Roman" w:cs="Times New Roman"/>
          <w:color w:val="000000" w:themeColor="text1"/>
          <w:sz w:val="24"/>
          <w:szCs w:val="24"/>
          <w:lang w:eastAsia="fr-FR"/>
        </w:rPr>
        <w:t>que</w:t>
      </w:r>
      <w:r w:rsidR="00D3538D">
        <w:rPr>
          <w:rFonts w:ascii="Times New Roman" w:eastAsia="Times New Roman" w:hAnsi="Times New Roman" w:cs="Times New Roman"/>
          <w:color w:val="000000" w:themeColor="text1"/>
          <w:sz w:val="24"/>
          <w:szCs w:val="24"/>
          <w:lang w:eastAsia="fr-FR"/>
        </w:rPr>
        <w:t xml:space="preserve"> ledit permis de construire </w:t>
      </w:r>
      <w:r w:rsidR="00CD5C84" w:rsidRPr="00CD5C84">
        <w:rPr>
          <w:rFonts w:ascii="Times New Roman" w:eastAsia="Times New Roman" w:hAnsi="Times New Roman" w:cs="Times New Roman"/>
          <w:color w:val="000000" w:themeColor="text1"/>
          <w:sz w:val="24"/>
          <w:szCs w:val="24"/>
          <w:lang w:eastAsia="fr-FR"/>
        </w:rPr>
        <w:t>porte sur une installation, un ouvrage, des travaux ou une activité soumis à déclaration en application de la section 1 du chapitre IV du titre Ier du livre</w:t>
      </w:r>
      <w:r w:rsidR="00D3538D">
        <w:rPr>
          <w:rFonts w:ascii="Times New Roman" w:eastAsia="Times New Roman" w:hAnsi="Times New Roman" w:cs="Times New Roman"/>
          <w:color w:val="000000" w:themeColor="text1"/>
          <w:sz w:val="24"/>
          <w:szCs w:val="24"/>
          <w:lang w:eastAsia="fr-FR"/>
        </w:rPr>
        <w:t xml:space="preserve"> II du code de l'environnement </w:t>
      </w:r>
      <w:r w:rsidR="00CD5C84">
        <w:rPr>
          <w:rFonts w:ascii="Times New Roman" w:eastAsia="Times New Roman" w:hAnsi="Times New Roman" w:cs="Times New Roman"/>
          <w:color w:val="000000" w:themeColor="text1"/>
          <w:sz w:val="24"/>
          <w:szCs w:val="24"/>
          <w:lang w:eastAsia="fr-FR"/>
        </w:rPr>
        <w:t xml:space="preserve">ainsi </w:t>
      </w:r>
      <w:r w:rsidR="00D3538D">
        <w:rPr>
          <w:rFonts w:ascii="Times New Roman" w:eastAsia="Times New Roman" w:hAnsi="Times New Roman" w:cs="Times New Roman"/>
          <w:color w:val="000000" w:themeColor="text1"/>
          <w:sz w:val="24"/>
          <w:szCs w:val="24"/>
          <w:lang w:eastAsia="fr-FR"/>
        </w:rPr>
        <w:t xml:space="preserve">que </w:t>
      </w:r>
      <w:r w:rsidR="00D3538D" w:rsidRPr="00D3538D">
        <w:rPr>
          <w:rFonts w:ascii="Times New Roman" w:eastAsia="Times New Roman" w:hAnsi="Times New Roman" w:cs="Times New Roman"/>
          <w:color w:val="000000" w:themeColor="text1"/>
          <w:sz w:val="24"/>
          <w:szCs w:val="24"/>
          <w:lang w:eastAsia="fr-FR"/>
        </w:rPr>
        <w:t>sur un projet soumis à autorisation environnementale</w:t>
      </w:r>
      <w:r w:rsidR="00D3538D">
        <w:rPr>
          <w:rFonts w:ascii="Times New Roman" w:eastAsia="Times New Roman" w:hAnsi="Times New Roman" w:cs="Times New Roman"/>
          <w:color w:val="000000" w:themeColor="text1"/>
          <w:sz w:val="24"/>
          <w:szCs w:val="24"/>
          <w:lang w:eastAsia="fr-FR"/>
        </w:rPr>
        <w:t xml:space="preserve"> en </w:t>
      </w:r>
      <w:r w:rsidR="00CD5C84">
        <w:rPr>
          <w:rFonts w:ascii="Times New Roman" w:eastAsia="Times New Roman" w:hAnsi="Times New Roman" w:cs="Times New Roman"/>
          <w:color w:val="000000" w:themeColor="text1"/>
          <w:sz w:val="24"/>
          <w:szCs w:val="24"/>
          <w:lang w:eastAsia="fr-FR"/>
        </w:rPr>
        <w:t xml:space="preserve">application </w:t>
      </w:r>
      <w:r w:rsidR="00CD5C84" w:rsidRPr="00CD5C84">
        <w:rPr>
          <w:rFonts w:ascii="Times New Roman" w:eastAsia="Times New Roman" w:hAnsi="Times New Roman" w:cs="Times New Roman"/>
          <w:color w:val="000000" w:themeColor="text1"/>
          <w:sz w:val="24"/>
          <w:szCs w:val="24"/>
          <w:lang w:eastAsia="fr-FR"/>
        </w:rPr>
        <w:t>des dispositions combinées du cinquième alinéa de l’article L. 181-1 du code de l’environnement</w:t>
      </w:r>
      <w:r w:rsidR="00CD5C84" w:rsidRPr="00CD5C84">
        <w:rPr>
          <w:rFonts w:ascii="Times New Roman" w:hAnsi="Times New Roman" w:cs="Times New Roman"/>
          <w:sz w:val="24"/>
          <w:szCs w:val="24"/>
        </w:rPr>
        <w:t xml:space="preserve"> et du </w:t>
      </w:r>
      <w:r w:rsidR="00CD5C84" w:rsidRPr="00CD5C84">
        <w:rPr>
          <w:rFonts w:ascii="Times New Roman" w:eastAsia="Times New Roman" w:hAnsi="Times New Roman" w:cs="Times New Roman"/>
          <w:color w:val="000000" w:themeColor="text1"/>
          <w:sz w:val="24"/>
          <w:szCs w:val="24"/>
          <w:lang w:eastAsia="fr-FR"/>
        </w:rPr>
        <w:t>deuxième alinéa du II de l'article L. 122-1-1</w:t>
      </w:r>
      <w:r w:rsidR="00CD5C84">
        <w:rPr>
          <w:rFonts w:ascii="Times New Roman" w:eastAsia="Times New Roman" w:hAnsi="Times New Roman" w:cs="Times New Roman"/>
          <w:color w:val="000000" w:themeColor="text1"/>
          <w:sz w:val="24"/>
          <w:szCs w:val="24"/>
          <w:lang w:eastAsia="fr-FR"/>
        </w:rPr>
        <w:t xml:space="preserve"> de ce m</w:t>
      </w:r>
      <w:r w:rsidR="00D3538D">
        <w:rPr>
          <w:rFonts w:ascii="Times New Roman" w:eastAsia="Times New Roman" w:hAnsi="Times New Roman" w:cs="Times New Roman"/>
          <w:color w:val="000000" w:themeColor="text1"/>
          <w:sz w:val="24"/>
          <w:szCs w:val="24"/>
          <w:lang w:eastAsia="fr-FR"/>
        </w:rPr>
        <w:t xml:space="preserve">ême code. Toutefois, l’absence de telles mentions </w:t>
      </w:r>
      <w:r w:rsidR="00D3538D" w:rsidRPr="00D3538D">
        <w:rPr>
          <w:rFonts w:ascii="Times New Roman" w:eastAsia="Times New Roman" w:hAnsi="Times New Roman" w:cs="Times New Roman"/>
          <w:color w:val="000000" w:themeColor="text1"/>
          <w:sz w:val="24"/>
          <w:szCs w:val="24"/>
          <w:lang w:eastAsia="fr-FR"/>
        </w:rPr>
        <w:t>est sa</w:t>
      </w:r>
      <w:r w:rsidR="00D3538D">
        <w:rPr>
          <w:rFonts w:ascii="Times New Roman" w:eastAsia="Times New Roman" w:hAnsi="Times New Roman" w:cs="Times New Roman"/>
          <w:color w:val="000000" w:themeColor="text1"/>
          <w:sz w:val="24"/>
          <w:szCs w:val="24"/>
          <w:lang w:eastAsia="fr-FR"/>
        </w:rPr>
        <w:t>ns incidence sur la légalité de l’arrêté attaqué du 1</w:t>
      </w:r>
      <w:r w:rsidR="00D3538D" w:rsidRPr="00D3538D">
        <w:rPr>
          <w:rFonts w:ascii="Times New Roman" w:eastAsia="Times New Roman" w:hAnsi="Times New Roman" w:cs="Times New Roman"/>
          <w:color w:val="000000" w:themeColor="text1"/>
          <w:sz w:val="24"/>
          <w:szCs w:val="24"/>
          <w:vertAlign w:val="superscript"/>
          <w:lang w:eastAsia="fr-FR"/>
        </w:rPr>
        <w:t>er</w:t>
      </w:r>
      <w:r w:rsidR="00D3538D">
        <w:rPr>
          <w:rFonts w:ascii="Times New Roman" w:eastAsia="Times New Roman" w:hAnsi="Times New Roman" w:cs="Times New Roman"/>
          <w:color w:val="000000" w:themeColor="text1"/>
          <w:sz w:val="24"/>
          <w:szCs w:val="24"/>
          <w:lang w:eastAsia="fr-FR"/>
        </w:rPr>
        <w:t xml:space="preserve"> mars 2024 dès lors que les dispositions précitées de l’article </w:t>
      </w:r>
      <w:r w:rsidR="00D3538D" w:rsidRPr="00D3538D">
        <w:rPr>
          <w:rFonts w:ascii="Times New Roman" w:eastAsia="Times New Roman" w:hAnsi="Times New Roman" w:cs="Times New Roman"/>
          <w:color w:val="000000" w:themeColor="text1"/>
          <w:sz w:val="24"/>
          <w:szCs w:val="24"/>
          <w:lang w:eastAsia="fr-FR"/>
        </w:rPr>
        <w:t>L. 425-14 du code de l’urbanisme</w:t>
      </w:r>
      <w:r w:rsidR="00D3538D">
        <w:rPr>
          <w:rFonts w:ascii="Times New Roman" w:eastAsia="Times New Roman" w:hAnsi="Times New Roman" w:cs="Times New Roman"/>
          <w:color w:val="000000" w:themeColor="text1"/>
          <w:sz w:val="24"/>
          <w:szCs w:val="24"/>
          <w:lang w:eastAsia="fr-FR"/>
        </w:rPr>
        <w:t xml:space="preserve"> </w:t>
      </w:r>
      <w:r w:rsidR="00D3538D" w:rsidRPr="00D3538D">
        <w:rPr>
          <w:rFonts w:ascii="Times New Roman" w:eastAsia="Times New Roman" w:hAnsi="Times New Roman" w:cs="Times New Roman"/>
          <w:color w:val="000000" w:themeColor="text1"/>
          <w:sz w:val="24"/>
          <w:szCs w:val="24"/>
          <w:lang w:eastAsia="fr-FR"/>
        </w:rPr>
        <w:t xml:space="preserve">ne conditionnent pas </w:t>
      </w:r>
      <w:r w:rsidR="00F6086C">
        <w:rPr>
          <w:rFonts w:ascii="Times New Roman" w:eastAsia="Times New Roman" w:hAnsi="Times New Roman" w:cs="Times New Roman"/>
          <w:color w:val="000000" w:themeColor="text1"/>
          <w:sz w:val="24"/>
          <w:szCs w:val="24"/>
          <w:lang w:eastAsia="fr-FR"/>
        </w:rPr>
        <w:t>l’obtention</w:t>
      </w:r>
      <w:r w:rsidR="00D3538D" w:rsidRPr="00D3538D">
        <w:rPr>
          <w:rFonts w:ascii="Times New Roman" w:eastAsia="Times New Roman" w:hAnsi="Times New Roman" w:cs="Times New Roman"/>
          <w:color w:val="000000" w:themeColor="text1"/>
          <w:sz w:val="24"/>
          <w:szCs w:val="24"/>
          <w:lang w:eastAsia="fr-FR"/>
        </w:rPr>
        <w:t xml:space="preserve"> </w:t>
      </w:r>
      <w:r w:rsidR="00D3538D">
        <w:rPr>
          <w:rFonts w:ascii="Times New Roman" w:eastAsia="Times New Roman" w:hAnsi="Times New Roman" w:cs="Times New Roman"/>
          <w:color w:val="000000" w:themeColor="text1"/>
          <w:sz w:val="24"/>
          <w:szCs w:val="24"/>
          <w:lang w:eastAsia="fr-FR"/>
        </w:rPr>
        <w:t xml:space="preserve">d’une autorisation </w:t>
      </w:r>
      <w:r w:rsidR="00CD32EB">
        <w:rPr>
          <w:rFonts w:ascii="Times New Roman" w:eastAsia="Times New Roman" w:hAnsi="Times New Roman" w:cs="Times New Roman"/>
          <w:color w:val="000000" w:themeColor="text1"/>
          <w:sz w:val="24"/>
          <w:szCs w:val="24"/>
          <w:lang w:eastAsia="fr-FR"/>
        </w:rPr>
        <w:t xml:space="preserve">d’urbanisme à la délivrance, lorsqu’elles sont nécessaires, de </w:t>
      </w:r>
      <w:r w:rsidR="00D3538D" w:rsidRPr="00D3538D">
        <w:rPr>
          <w:rFonts w:ascii="Times New Roman" w:eastAsia="Times New Roman" w:hAnsi="Times New Roman" w:cs="Times New Roman"/>
          <w:color w:val="000000" w:themeColor="text1"/>
          <w:sz w:val="24"/>
          <w:szCs w:val="24"/>
          <w:lang w:eastAsia="fr-FR"/>
        </w:rPr>
        <w:t xml:space="preserve">l'autorisation environnementale mentionnée à l'article L. 181-1 du </w:t>
      </w:r>
      <w:r w:rsidR="00B17D7E">
        <w:rPr>
          <w:rFonts w:ascii="Times New Roman" w:eastAsia="Times New Roman" w:hAnsi="Times New Roman" w:cs="Times New Roman"/>
          <w:color w:val="000000" w:themeColor="text1"/>
          <w:sz w:val="24"/>
          <w:szCs w:val="24"/>
          <w:lang w:eastAsia="fr-FR"/>
        </w:rPr>
        <w:t>code de l’environnement ou</w:t>
      </w:r>
      <w:r w:rsidR="00CD32EB">
        <w:rPr>
          <w:rFonts w:ascii="Times New Roman" w:eastAsia="Times New Roman" w:hAnsi="Times New Roman" w:cs="Times New Roman"/>
          <w:color w:val="000000" w:themeColor="text1"/>
          <w:sz w:val="24"/>
          <w:szCs w:val="24"/>
          <w:lang w:eastAsia="fr-FR"/>
        </w:rPr>
        <w:t xml:space="preserve"> </w:t>
      </w:r>
      <w:r w:rsidR="00D3538D" w:rsidRPr="00D3538D">
        <w:rPr>
          <w:rFonts w:ascii="Times New Roman" w:eastAsia="Times New Roman" w:hAnsi="Times New Roman" w:cs="Times New Roman"/>
          <w:color w:val="000000" w:themeColor="text1"/>
          <w:sz w:val="24"/>
          <w:szCs w:val="24"/>
          <w:lang w:eastAsia="fr-FR"/>
        </w:rPr>
        <w:t xml:space="preserve">à l’acceptation </w:t>
      </w:r>
      <w:r w:rsidR="00CD32EB">
        <w:rPr>
          <w:rFonts w:ascii="Times New Roman" w:eastAsia="Times New Roman" w:hAnsi="Times New Roman" w:cs="Times New Roman"/>
          <w:color w:val="000000" w:themeColor="text1"/>
          <w:sz w:val="24"/>
          <w:szCs w:val="24"/>
          <w:lang w:eastAsia="fr-FR"/>
        </w:rPr>
        <w:t>d’une déclaration effectuée sur le fondement des</w:t>
      </w:r>
      <w:r w:rsidR="00B17D7E">
        <w:rPr>
          <w:rFonts w:ascii="Times New Roman" w:eastAsia="Times New Roman" w:hAnsi="Times New Roman" w:cs="Times New Roman"/>
          <w:color w:val="000000" w:themeColor="text1"/>
          <w:sz w:val="24"/>
          <w:szCs w:val="24"/>
          <w:lang w:eastAsia="fr-FR"/>
        </w:rPr>
        <w:t xml:space="preserve"> dispositions citées au point 9</w:t>
      </w:r>
      <w:r w:rsidR="00CD32EB">
        <w:rPr>
          <w:rFonts w:ascii="Times New Roman" w:eastAsia="Times New Roman" w:hAnsi="Times New Roman" w:cs="Times New Roman"/>
          <w:color w:val="000000" w:themeColor="text1"/>
          <w:sz w:val="24"/>
          <w:szCs w:val="24"/>
          <w:lang w:eastAsia="fr-FR"/>
        </w:rPr>
        <w:t xml:space="preserve"> de ce jugement, </w:t>
      </w:r>
      <w:r w:rsidR="00D3538D" w:rsidRPr="00D3538D">
        <w:rPr>
          <w:rFonts w:ascii="Times New Roman" w:eastAsia="Times New Roman" w:hAnsi="Times New Roman" w:cs="Times New Roman"/>
          <w:color w:val="000000" w:themeColor="text1"/>
          <w:sz w:val="24"/>
          <w:szCs w:val="24"/>
          <w:lang w:eastAsia="fr-FR"/>
        </w:rPr>
        <w:t xml:space="preserve">mais ont pour seul objet de subordonner la mise en œuvre </w:t>
      </w:r>
      <w:r w:rsidR="00F6086C">
        <w:rPr>
          <w:rFonts w:ascii="Times New Roman" w:eastAsia="Times New Roman" w:hAnsi="Times New Roman" w:cs="Times New Roman"/>
          <w:color w:val="000000" w:themeColor="text1"/>
          <w:sz w:val="24"/>
          <w:szCs w:val="24"/>
          <w:lang w:eastAsia="fr-FR"/>
        </w:rPr>
        <w:t>de l’autorisation d’urbanisme</w:t>
      </w:r>
      <w:r w:rsidR="00CF271D">
        <w:rPr>
          <w:rFonts w:ascii="Times New Roman" w:eastAsia="Times New Roman" w:hAnsi="Times New Roman" w:cs="Times New Roman"/>
          <w:color w:val="000000" w:themeColor="text1"/>
          <w:sz w:val="24"/>
          <w:szCs w:val="24"/>
          <w:lang w:eastAsia="fr-FR"/>
        </w:rPr>
        <w:t xml:space="preserve"> qui a déjà été délivré</w:t>
      </w:r>
      <w:r w:rsidR="00F6086C">
        <w:rPr>
          <w:rFonts w:ascii="Times New Roman" w:eastAsia="Times New Roman" w:hAnsi="Times New Roman" w:cs="Times New Roman"/>
          <w:color w:val="000000" w:themeColor="text1"/>
          <w:sz w:val="24"/>
          <w:szCs w:val="24"/>
          <w:lang w:eastAsia="fr-FR"/>
        </w:rPr>
        <w:t>e</w:t>
      </w:r>
      <w:r w:rsidR="00CF271D">
        <w:rPr>
          <w:rFonts w:ascii="Times New Roman" w:eastAsia="Times New Roman" w:hAnsi="Times New Roman" w:cs="Times New Roman"/>
          <w:color w:val="000000" w:themeColor="text1"/>
          <w:sz w:val="24"/>
          <w:szCs w:val="24"/>
          <w:lang w:eastAsia="fr-FR"/>
        </w:rPr>
        <w:t xml:space="preserve"> à de </w:t>
      </w:r>
      <w:r w:rsidR="00CD32EB">
        <w:rPr>
          <w:rFonts w:ascii="Times New Roman" w:eastAsia="Times New Roman" w:hAnsi="Times New Roman" w:cs="Times New Roman"/>
          <w:color w:val="000000" w:themeColor="text1"/>
          <w:sz w:val="24"/>
          <w:szCs w:val="24"/>
          <w:lang w:eastAsia="fr-FR"/>
        </w:rPr>
        <w:t>telle</w:t>
      </w:r>
      <w:r w:rsidR="00CF271D">
        <w:rPr>
          <w:rFonts w:ascii="Times New Roman" w:eastAsia="Times New Roman" w:hAnsi="Times New Roman" w:cs="Times New Roman"/>
          <w:color w:val="000000" w:themeColor="text1"/>
          <w:sz w:val="24"/>
          <w:szCs w:val="24"/>
          <w:lang w:eastAsia="fr-FR"/>
        </w:rPr>
        <w:t>s</w:t>
      </w:r>
      <w:r w:rsidR="00CD32EB">
        <w:rPr>
          <w:rFonts w:ascii="Times New Roman" w:eastAsia="Times New Roman" w:hAnsi="Times New Roman" w:cs="Times New Roman"/>
          <w:color w:val="000000" w:themeColor="text1"/>
          <w:sz w:val="24"/>
          <w:szCs w:val="24"/>
          <w:lang w:eastAsia="fr-FR"/>
        </w:rPr>
        <w:t xml:space="preserve"> autorisation ou </w:t>
      </w:r>
      <w:r w:rsidR="00D3538D" w:rsidRPr="00D3538D">
        <w:rPr>
          <w:rFonts w:ascii="Times New Roman" w:eastAsia="Times New Roman" w:hAnsi="Times New Roman" w:cs="Times New Roman"/>
          <w:color w:val="000000" w:themeColor="text1"/>
          <w:sz w:val="24"/>
          <w:szCs w:val="24"/>
          <w:lang w:eastAsia="fr-FR"/>
        </w:rPr>
        <w:t>décision de non opposition à déclaration.</w:t>
      </w:r>
      <w:r w:rsidR="00CD32EB">
        <w:rPr>
          <w:rFonts w:ascii="Times New Roman" w:eastAsia="Times New Roman" w:hAnsi="Times New Roman" w:cs="Times New Roman"/>
          <w:color w:val="000000" w:themeColor="text1"/>
          <w:sz w:val="24"/>
          <w:szCs w:val="24"/>
          <w:lang w:eastAsia="fr-FR"/>
        </w:rPr>
        <w:t xml:space="preserve"> Par suite, </w:t>
      </w:r>
      <w:r w:rsidR="00890C15">
        <w:rPr>
          <w:rFonts w:ascii="Times New Roman" w:eastAsia="Times New Roman" w:hAnsi="Times New Roman" w:cs="Times New Roman"/>
          <w:color w:val="000000" w:themeColor="text1"/>
          <w:sz w:val="24"/>
          <w:szCs w:val="24"/>
          <w:lang w:eastAsia="fr-FR"/>
        </w:rPr>
        <w:t>l’association requérante ne peut</w:t>
      </w:r>
      <w:r w:rsidR="00F6086C">
        <w:rPr>
          <w:rFonts w:ascii="Times New Roman" w:eastAsia="Times New Roman" w:hAnsi="Times New Roman" w:cs="Times New Roman"/>
          <w:color w:val="000000" w:themeColor="text1"/>
          <w:sz w:val="24"/>
          <w:szCs w:val="24"/>
          <w:lang w:eastAsia="fr-FR"/>
        </w:rPr>
        <w:t>, en tout état de cause,</w:t>
      </w:r>
      <w:r w:rsidR="00CD32EB">
        <w:rPr>
          <w:rFonts w:ascii="Times New Roman" w:eastAsia="Times New Roman" w:hAnsi="Times New Roman" w:cs="Times New Roman"/>
          <w:color w:val="000000" w:themeColor="text1"/>
          <w:sz w:val="24"/>
          <w:szCs w:val="24"/>
          <w:lang w:eastAsia="fr-FR"/>
        </w:rPr>
        <w:t xml:space="preserve"> utilement </w:t>
      </w:r>
      <w:r w:rsidR="00890C15">
        <w:rPr>
          <w:rFonts w:ascii="Times New Roman" w:eastAsia="Times New Roman" w:hAnsi="Times New Roman" w:cs="Times New Roman"/>
          <w:color w:val="000000" w:themeColor="text1"/>
          <w:sz w:val="24"/>
          <w:szCs w:val="24"/>
          <w:lang w:eastAsia="fr-FR"/>
        </w:rPr>
        <w:t>se prévaloir, à l’appui de ses</w:t>
      </w:r>
      <w:r w:rsidR="00CD32EB">
        <w:rPr>
          <w:rFonts w:ascii="Times New Roman" w:eastAsia="Times New Roman" w:hAnsi="Times New Roman" w:cs="Times New Roman"/>
          <w:color w:val="000000" w:themeColor="text1"/>
          <w:sz w:val="24"/>
          <w:szCs w:val="24"/>
          <w:lang w:eastAsia="fr-FR"/>
        </w:rPr>
        <w:t xml:space="preserve"> conclusions à fin d’annulation de l’arrêté du 1</w:t>
      </w:r>
      <w:r w:rsidR="00CD32EB" w:rsidRPr="00CD32EB">
        <w:rPr>
          <w:rFonts w:ascii="Times New Roman" w:eastAsia="Times New Roman" w:hAnsi="Times New Roman" w:cs="Times New Roman"/>
          <w:color w:val="000000" w:themeColor="text1"/>
          <w:sz w:val="24"/>
          <w:szCs w:val="24"/>
          <w:vertAlign w:val="superscript"/>
          <w:lang w:eastAsia="fr-FR"/>
        </w:rPr>
        <w:t>er</w:t>
      </w:r>
      <w:r w:rsidR="00CD32EB">
        <w:rPr>
          <w:rFonts w:ascii="Times New Roman" w:eastAsia="Times New Roman" w:hAnsi="Times New Roman" w:cs="Times New Roman"/>
          <w:color w:val="000000" w:themeColor="text1"/>
          <w:sz w:val="24"/>
          <w:szCs w:val="24"/>
          <w:lang w:eastAsia="fr-FR"/>
        </w:rPr>
        <w:t xml:space="preserve"> mars 2024, de la méconnaissance des dispositions de l’article R</w:t>
      </w:r>
      <w:r w:rsidR="00B17D7E">
        <w:rPr>
          <w:rFonts w:ascii="Times New Roman" w:eastAsia="Times New Roman" w:hAnsi="Times New Roman" w:cs="Times New Roman"/>
          <w:color w:val="000000" w:themeColor="text1"/>
          <w:sz w:val="24"/>
          <w:szCs w:val="24"/>
          <w:lang w:eastAsia="fr-FR"/>
        </w:rPr>
        <w:t xml:space="preserve">.* 431-5 </w:t>
      </w:r>
      <w:r w:rsidR="00F6086C">
        <w:rPr>
          <w:rFonts w:ascii="Times New Roman" w:eastAsia="Times New Roman" w:hAnsi="Times New Roman" w:cs="Times New Roman"/>
          <w:color w:val="000000" w:themeColor="text1"/>
          <w:sz w:val="24"/>
          <w:szCs w:val="24"/>
          <w:lang w:eastAsia="fr-FR"/>
        </w:rPr>
        <w:t>reproduites</w:t>
      </w:r>
      <w:r w:rsidR="00B17D7E">
        <w:rPr>
          <w:rFonts w:ascii="Times New Roman" w:eastAsia="Times New Roman" w:hAnsi="Times New Roman" w:cs="Times New Roman"/>
          <w:color w:val="000000" w:themeColor="text1"/>
          <w:sz w:val="24"/>
          <w:szCs w:val="24"/>
          <w:lang w:eastAsia="fr-FR"/>
        </w:rPr>
        <w:t xml:space="preserve"> au point 11</w:t>
      </w:r>
      <w:r w:rsidR="00CD32EB">
        <w:rPr>
          <w:rFonts w:ascii="Times New Roman" w:eastAsia="Times New Roman" w:hAnsi="Times New Roman" w:cs="Times New Roman"/>
          <w:color w:val="000000" w:themeColor="text1"/>
          <w:sz w:val="24"/>
          <w:szCs w:val="24"/>
          <w:lang w:eastAsia="fr-FR"/>
        </w:rPr>
        <w:t xml:space="preserve"> de ce jugement. </w:t>
      </w:r>
    </w:p>
    <w:p w14:paraId="54DF7E9C" w14:textId="06DEAA28" w:rsidR="00CF271D" w:rsidRDefault="00CF271D" w:rsidP="00CD32EB">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24B149C5" w14:textId="2A9A854B" w:rsidR="00CF271D" w:rsidRDefault="006853F4" w:rsidP="00CF271D">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13</w:t>
      </w:r>
      <w:r w:rsidR="00CF271D">
        <w:rPr>
          <w:rFonts w:ascii="Times New Roman" w:eastAsia="Times New Roman" w:hAnsi="Times New Roman" w:cs="Times New Roman"/>
          <w:color w:val="000000" w:themeColor="text1"/>
          <w:sz w:val="24"/>
          <w:szCs w:val="24"/>
          <w:lang w:eastAsia="fr-FR"/>
        </w:rPr>
        <w:t>. En second lieu, au</w:t>
      </w:r>
      <w:r w:rsidR="00B17D7E">
        <w:rPr>
          <w:rFonts w:ascii="Times New Roman" w:eastAsia="Times New Roman" w:hAnsi="Times New Roman" w:cs="Times New Roman"/>
          <w:color w:val="000000" w:themeColor="text1"/>
          <w:sz w:val="24"/>
          <w:szCs w:val="24"/>
          <w:lang w:eastAsia="fr-FR"/>
        </w:rPr>
        <w:t xml:space="preserve">x termes du dernier alinéa de ce même </w:t>
      </w:r>
      <w:r w:rsidR="00CF271D">
        <w:rPr>
          <w:rFonts w:ascii="Times New Roman" w:eastAsia="Times New Roman" w:hAnsi="Times New Roman" w:cs="Times New Roman"/>
          <w:color w:val="000000" w:themeColor="text1"/>
          <w:sz w:val="24"/>
          <w:szCs w:val="24"/>
          <w:lang w:eastAsia="fr-FR"/>
        </w:rPr>
        <w:t>article R.* 431-5 du code de l’urbanisme : « </w:t>
      </w:r>
      <w:r w:rsidR="00CF271D" w:rsidRPr="00CF271D">
        <w:rPr>
          <w:rFonts w:ascii="Times New Roman" w:eastAsia="Times New Roman" w:hAnsi="Times New Roman" w:cs="Times New Roman"/>
          <w:i/>
          <w:color w:val="000000" w:themeColor="text1"/>
          <w:sz w:val="24"/>
          <w:szCs w:val="24"/>
          <w:lang w:eastAsia="fr-FR"/>
        </w:rPr>
        <w:t>La demande [de permis de construire] comporte également l'attestation du ou des demandeurs qu'ils remplissent les conditions définies à l'article R*423-1 pour déposer une demande de permis</w:t>
      </w:r>
      <w:r w:rsidR="00CF271D">
        <w:rPr>
          <w:rFonts w:ascii="Times New Roman" w:eastAsia="Times New Roman" w:hAnsi="Times New Roman" w:cs="Times New Roman"/>
          <w:color w:val="000000" w:themeColor="text1"/>
          <w:sz w:val="24"/>
          <w:szCs w:val="24"/>
          <w:lang w:eastAsia="fr-FR"/>
        </w:rPr>
        <w:t> ». Aux termes de l’article R.* 423-1 de ce même code : « </w:t>
      </w:r>
      <w:r w:rsidR="00CF271D" w:rsidRPr="00CF271D">
        <w:rPr>
          <w:rFonts w:ascii="Times New Roman" w:eastAsia="Times New Roman" w:hAnsi="Times New Roman" w:cs="Times New Roman"/>
          <w:i/>
          <w:color w:val="000000" w:themeColor="text1"/>
          <w:sz w:val="24"/>
          <w:szCs w:val="24"/>
          <w:lang w:eastAsia="fr-FR"/>
        </w:rPr>
        <w:t>Les demandes de permis de construire, d'aménager ou de démolir et les déclarations préalables sont adressées par pli recommandé avec demande d'avis de réception ou déposées à la mairie de la commune dans laquelle les travaux sont envisagés : / a) Soit par le ou les propriétaires du ou des terrains, leur mandataire ou par une ou plusieurs personnes attestant être autorisées par eux à exécuter les travaux ; / (…)</w:t>
      </w:r>
      <w:r w:rsidR="00CF271D">
        <w:rPr>
          <w:rFonts w:ascii="Times New Roman" w:eastAsia="Times New Roman" w:hAnsi="Times New Roman" w:cs="Times New Roman"/>
          <w:color w:val="000000" w:themeColor="text1"/>
          <w:sz w:val="24"/>
          <w:szCs w:val="24"/>
          <w:lang w:eastAsia="fr-FR"/>
        </w:rPr>
        <w:t> ».</w:t>
      </w:r>
    </w:p>
    <w:p w14:paraId="6EA7ABA3" w14:textId="77777777" w:rsidR="00CF271D" w:rsidRDefault="00CF271D" w:rsidP="00CF271D">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27326480" w14:textId="2F5D5DEC" w:rsidR="00CF271D" w:rsidRDefault="006853F4" w:rsidP="00CF271D">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14</w:t>
      </w:r>
      <w:r w:rsidR="00CF271D">
        <w:rPr>
          <w:rFonts w:ascii="Times New Roman" w:eastAsia="Times New Roman" w:hAnsi="Times New Roman" w:cs="Times New Roman"/>
          <w:color w:val="000000" w:themeColor="text1"/>
          <w:sz w:val="24"/>
          <w:szCs w:val="24"/>
          <w:lang w:eastAsia="fr-FR"/>
        </w:rPr>
        <w:t xml:space="preserve">.  </w:t>
      </w:r>
      <w:r w:rsidR="00C065B3" w:rsidRPr="00C065B3">
        <w:rPr>
          <w:rFonts w:ascii="Times New Roman" w:eastAsia="Times New Roman" w:hAnsi="Times New Roman" w:cs="Times New Roman"/>
          <w:color w:val="000000" w:themeColor="text1"/>
          <w:sz w:val="24"/>
          <w:szCs w:val="24"/>
          <w:lang w:eastAsia="fr-FR"/>
        </w:rPr>
        <w:t xml:space="preserve">Il résulte </w:t>
      </w:r>
      <w:r w:rsidR="00C065B3">
        <w:rPr>
          <w:rFonts w:ascii="Times New Roman" w:eastAsia="Times New Roman" w:hAnsi="Times New Roman" w:cs="Times New Roman"/>
          <w:color w:val="000000" w:themeColor="text1"/>
          <w:sz w:val="24"/>
          <w:szCs w:val="24"/>
          <w:lang w:eastAsia="fr-FR"/>
        </w:rPr>
        <w:t xml:space="preserve">des dispositions citées au point précédent </w:t>
      </w:r>
      <w:r w:rsidR="00C065B3" w:rsidRPr="00C065B3">
        <w:rPr>
          <w:rFonts w:ascii="Times New Roman" w:eastAsia="Times New Roman" w:hAnsi="Times New Roman" w:cs="Times New Roman"/>
          <w:color w:val="000000" w:themeColor="text1"/>
          <w:sz w:val="24"/>
          <w:szCs w:val="24"/>
          <w:lang w:eastAsia="fr-FR"/>
        </w:rPr>
        <w:t>que les demandes de permis de construire doivent seulement c</w:t>
      </w:r>
      <w:r w:rsidR="00C065B3">
        <w:rPr>
          <w:rFonts w:ascii="Times New Roman" w:eastAsia="Times New Roman" w:hAnsi="Times New Roman" w:cs="Times New Roman"/>
          <w:color w:val="000000" w:themeColor="text1"/>
          <w:sz w:val="24"/>
          <w:szCs w:val="24"/>
          <w:lang w:eastAsia="fr-FR"/>
        </w:rPr>
        <w:t>omporter l’attestation du pé</w:t>
      </w:r>
      <w:r w:rsidR="00C065B3" w:rsidRPr="00C065B3">
        <w:rPr>
          <w:rFonts w:ascii="Times New Roman" w:eastAsia="Times New Roman" w:hAnsi="Times New Roman" w:cs="Times New Roman"/>
          <w:color w:val="000000" w:themeColor="text1"/>
          <w:sz w:val="24"/>
          <w:szCs w:val="24"/>
          <w:lang w:eastAsia="fr-FR"/>
        </w:rPr>
        <w:t>titionnaire qu’il remplit les conditions définies à l’article R. 423-1 cité ci-dessus. Les autorisations d’utilisation du sol, qui ont pour seul objet de s’assurer de la conformité des travaux qu’elles autorisent avec la législation et la réglementation d’urbanisme, étant accordées sous réserve du droit des tiers, il n’appartient pas à l’autorité compétente de vérifier, dans le cadre de l’instruction d’une demande de permis, la validité de l’attestation établie par le demandeur. Ainsi, sous réserve de la fraude, le pétitionnaire qui fournit l’attestation prévue à l’article R. 423-1 du code doit être regardé comme ayant qualité pour présenter sa demande.</w:t>
      </w:r>
    </w:p>
    <w:p w14:paraId="76FC2C76" w14:textId="1D9C490D" w:rsidR="00C065B3" w:rsidRDefault="00C065B3" w:rsidP="00CF271D">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0206858D" w14:textId="07491C99" w:rsidR="00C065B3" w:rsidRDefault="006853F4" w:rsidP="00C065B3">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15</w:t>
      </w:r>
      <w:r w:rsidR="00C065B3">
        <w:rPr>
          <w:rFonts w:ascii="Times New Roman" w:eastAsia="Times New Roman" w:hAnsi="Times New Roman" w:cs="Times New Roman"/>
          <w:color w:val="000000" w:themeColor="text1"/>
          <w:sz w:val="24"/>
          <w:szCs w:val="24"/>
          <w:lang w:eastAsia="fr-FR"/>
        </w:rPr>
        <w:t xml:space="preserve">. En l’espèce, il ressort des pièces du dossier que la SMEG </w:t>
      </w:r>
      <w:r w:rsidR="00C065B3" w:rsidRPr="00C065B3">
        <w:rPr>
          <w:rFonts w:ascii="Times New Roman" w:eastAsia="Times New Roman" w:hAnsi="Times New Roman" w:cs="Times New Roman"/>
          <w:color w:val="000000" w:themeColor="text1"/>
          <w:sz w:val="24"/>
          <w:szCs w:val="24"/>
          <w:lang w:eastAsia="fr-FR"/>
        </w:rPr>
        <w:t xml:space="preserve">a attesté avoir qualité pour déposer la demande d’autorisation d’urbanisme </w:t>
      </w:r>
      <w:r w:rsidR="00C065B3">
        <w:rPr>
          <w:rFonts w:ascii="Times New Roman" w:eastAsia="Times New Roman" w:hAnsi="Times New Roman" w:cs="Times New Roman"/>
          <w:color w:val="000000" w:themeColor="text1"/>
          <w:sz w:val="24"/>
          <w:szCs w:val="24"/>
          <w:lang w:eastAsia="fr-FR"/>
        </w:rPr>
        <w:t>en litige</w:t>
      </w:r>
      <w:r w:rsidR="00C065B3" w:rsidRPr="00C065B3">
        <w:rPr>
          <w:rFonts w:ascii="Times New Roman" w:eastAsia="Times New Roman" w:hAnsi="Times New Roman" w:cs="Times New Roman"/>
          <w:color w:val="000000" w:themeColor="text1"/>
          <w:sz w:val="24"/>
          <w:szCs w:val="24"/>
          <w:lang w:eastAsia="fr-FR"/>
        </w:rPr>
        <w:t>. Par suite, dès lors qu’il n</w:t>
      </w:r>
      <w:r w:rsidR="00B17D7E">
        <w:rPr>
          <w:rFonts w:ascii="Times New Roman" w:eastAsia="Times New Roman" w:hAnsi="Times New Roman" w:cs="Times New Roman"/>
          <w:color w:val="000000" w:themeColor="text1"/>
          <w:sz w:val="24"/>
          <w:szCs w:val="24"/>
          <w:lang w:eastAsia="fr-FR"/>
        </w:rPr>
        <w:t>’est ni soutenu ni établi que cette</w:t>
      </w:r>
      <w:r w:rsidR="00C065B3" w:rsidRPr="00C065B3">
        <w:rPr>
          <w:rFonts w:ascii="Times New Roman" w:eastAsia="Times New Roman" w:hAnsi="Times New Roman" w:cs="Times New Roman"/>
          <w:color w:val="000000" w:themeColor="text1"/>
          <w:sz w:val="24"/>
          <w:szCs w:val="24"/>
          <w:lang w:eastAsia="fr-FR"/>
        </w:rPr>
        <w:t xml:space="preserve"> demande d’autorisation au</w:t>
      </w:r>
      <w:r w:rsidR="00C065B3">
        <w:rPr>
          <w:rFonts w:ascii="Times New Roman" w:eastAsia="Times New Roman" w:hAnsi="Times New Roman" w:cs="Times New Roman"/>
          <w:color w:val="000000" w:themeColor="text1"/>
          <w:sz w:val="24"/>
          <w:szCs w:val="24"/>
          <w:lang w:eastAsia="fr-FR"/>
        </w:rPr>
        <w:t>rait été obtenue par fraude, ladite société</w:t>
      </w:r>
      <w:r w:rsidR="00C065B3" w:rsidRPr="00C065B3">
        <w:rPr>
          <w:rFonts w:ascii="Times New Roman" w:eastAsia="Times New Roman" w:hAnsi="Times New Roman" w:cs="Times New Roman"/>
          <w:color w:val="000000" w:themeColor="text1"/>
          <w:sz w:val="24"/>
          <w:szCs w:val="24"/>
          <w:lang w:eastAsia="fr-FR"/>
        </w:rPr>
        <w:t xml:space="preserve"> doit être regardée comme ayant qualité pour déposer cette </w:t>
      </w:r>
      <w:r w:rsidR="00F6086C">
        <w:rPr>
          <w:rFonts w:ascii="Times New Roman" w:eastAsia="Times New Roman" w:hAnsi="Times New Roman" w:cs="Times New Roman"/>
          <w:color w:val="000000" w:themeColor="text1"/>
          <w:sz w:val="24"/>
          <w:szCs w:val="24"/>
          <w:lang w:eastAsia="fr-FR"/>
        </w:rPr>
        <w:t>demande</w:t>
      </w:r>
      <w:r w:rsidR="00C065B3" w:rsidRPr="00C065B3">
        <w:rPr>
          <w:rFonts w:ascii="Times New Roman" w:eastAsia="Times New Roman" w:hAnsi="Times New Roman" w:cs="Times New Roman"/>
          <w:color w:val="000000" w:themeColor="text1"/>
          <w:sz w:val="24"/>
          <w:szCs w:val="24"/>
          <w:lang w:eastAsia="fr-FR"/>
        </w:rPr>
        <w:t>, sans que l'autorité administrative puisse exiger d’elle la production d'un document étab</w:t>
      </w:r>
      <w:r w:rsidR="00C065B3">
        <w:rPr>
          <w:rFonts w:ascii="Times New Roman" w:eastAsia="Times New Roman" w:hAnsi="Times New Roman" w:cs="Times New Roman"/>
          <w:color w:val="000000" w:themeColor="text1"/>
          <w:sz w:val="24"/>
          <w:szCs w:val="24"/>
          <w:lang w:eastAsia="fr-FR"/>
        </w:rPr>
        <w:t xml:space="preserve">lissant </w:t>
      </w:r>
      <w:r w:rsidR="00C065B3" w:rsidRPr="00C065B3">
        <w:rPr>
          <w:rFonts w:ascii="Times New Roman" w:eastAsia="Times New Roman" w:hAnsi="Times New Roman" w:cs="Times New Roman"/>
          <w:color w:val="000000" w:themeColor="text1"/>
          <w:sz w:val="24"/>
          <w:szCs w:val="24"/>
          <w:lang w:eastAsia="fr-FR"/>
        </w:rPr>
        <w:t xml:space="preserve">qu’elle aurait l'accord </w:t>
      </w:r>
      <w:r w:rsidR="00C065B3">
        <w:rPr>
          <w:rFonts w:ascii="Times New Roman" w:eastAsia="Times New Roman" w:hAnsi="Times New Roman" w:cs="Times New Roman"/>
          <w:color w:val="000000" w:themeColor="text1"/>
          <w:sz w:val="24"/>
          <w:szCs w:val="24"/>
          <w:lang w:eastAsia="fr-FR"/>
        </w:rPr>
        <w:t>d</w:t>
      </w:r>
      <w:r w:rsidR="00C065B3" w:rsidRPr="00C065B3">
        <w:rPr>
          <w:rFonts w:ascii="Times New Roman" w:eastAsia="Times New Roman" w:hAnsi="Times New Roman" w:cs="Times New Roman"/>
          <w:color w:val="000000" w:themeColor="text1"/>
          <w:sz w:val="24"/>
          <w:szCs w:val="24"/>
          <w:lang w:eastAsia="fr-FR"/>
        </w:rPr>
        <w:t xml:space="preserve">es propriétaires des parcelles destinées à accueillir le projet autorisé par le permis de construire </w:t>
      </w:r>
      <w:proofErr w:type="gramStart"/>
      <w:r w:rsidR="00C065B3" w:rsidRPr="00C065B3">
        <w:rPr>
          <w:rFonts w:ascii="Times New Roman" w:eastAsia="Times New Roman" w:hAnsi="Times New Roman" w:cs="Times New Roman"/>
          <w:color w:val="000000" w:themeColor="text1"/>
          <w:sz w:val="24"/>
          <w:szCs w:val="24"/>
          <w:lang w:eastAsia="fr-FR"/>
        </w:rPr>
        <w:t>attaqué</w:t>
      </w:r>
      <w:proofErr w:type="gramEnd"/>
      <w:r w:rsidR="00C065B3" w:rsidRPr="00C065B3">
        <w:rPr>
          <w:rFonts w:ascii="Times New Roman" w:eastAsia="Times New Roman" w:hAnsi="Times New Roman" w:cs="Times New Roman"/>
          <w:color w:val="000000" w:themeColor="text1"/>
          <w:sz w:val="24"/>
          <w:szCs w:val="24"/>
          <w:lang w:eastAsia="fr-FR"/>
        </w:rPr>
        <w:t>, dont la commune de Levens</w:t>
      </w:r>
      <w:r w:rsidR="00C065B3">
        <w:rPr>
          <w:rFonts w:ascii="Times New Roman" w:eastAsia="Times New Roman" w:hAnsi="Times New Roman" w:cs="Times New Roman"/>
          <w:color w:val="000000" w:themeColor="text1"/>
          <w:sz w:val="24"/>
          <w:szCs w:val="24"/>
          <w:lang w:eastAsia="fr-FR"/>
        </w:rPr>
        <w:t xml:space="preserve">. </w:t>
      </w:r>
      <w:r w:rsidR="00C065B3" w:rsidRPr="00C065B3">
        <w:rPr>
          <w:rFonts w:ascii="Times New Roman" w:eastAsia="Times New Roman" w:hAnsi="Times New Roman" w:cs="Times New Roman"/>
          <w:color w:val="000000" w:themeColor="text1"/>
          <w:sz w:val="24"/>
          <w:szCs w:val="24"/>
          <w:lang w:eastAsia="fr-FR"/>
        </w:rPr>
        <w:t xml:space="preserve">Il suit de là que </w:t>
      </w:r>
      <w:r w:rsidR="00C065B3">
        <w:rPr>
          <w:rFonts w:ascii="Times New Roman" w:eastAsia="Times New Roman" w:hAnsi="Times New Roman" w:cs="Times New Roman"/>
          <w:color w:val="000000" w:themeColor="text1"/>
          <w:sz w:val="24"/>
          <w:szCs w:val="24"/>
          <w:lang w:eastAsia="fr-FR"/>
        </w:rPr>
        <w:t xml:space="preserve">la branche du moyen susmentionné tirée de ce que la SMEG </w:t>
      </w:r>
      <w:r w:rsidR="00C065B3" w:rsidRPr="00C065B3">
        <w:rPr>
          <w:rFonts w:ascii="Times New Roman" w:eastAsia="Times New Roman" w:hAnsi="Times New Roman" w:cs="Times New Roman"/>
          <w:color w:val="000000" w:themeColor="text1"/>
          <w:sz w:val="24"/>
          <w:szCs w:val="24"/>
          <w:lang w:eastAsia="fr-FR"/>
        </w:rPr>
        <w:t xml:space="preserve">n’aurait pas qualité pour déposer </w:t>
      </w:r>
      <w:r w:rsidR="00EA516F">
        <w:rPr>
          <w:rFonts w:ascii="Times New Roman" w:eastAsia="Times New Roman" w:hAnsi="Times New Roman" w:cs="Times New Roman"/>
          <w:color w:val="000000" w:themeColor="text1"/>
          <w:sz w:val="24"/>
          <w:szCs w:val="24"/>
          <w:lang w:eastAsia="fr-FR"/>
        </w:rPr>
        <w:t xml:space="preserve">la demande de permis de construire en litige doit être écartée. </w:t>
      </w:r>
    </w:p>
    <w:p w14:paraId="0EC3B075" w14:textId="6FD3EDDA" w:rsidR="00EA516F" w:rsidRDefault="00EA516F" w:rsidP="00C065B3">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1D5C9577" w14:textId="7F2719C7" w:rsidR="00D01448" w:rsidRDefault="006853F4" w:rsidP="00D01448">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lastRenderedPageBreak/>
        <w:t>16</w:t>
      </w:r>
      <w:r w:rsidR="00EA516F">
        <w:rPr>
          <w:rFonts w:ascii="Times New Roman" w:eastAsia="Times New Roman" w:hAnsi="Times New Roman" w:cs="Times New Roman"/>
          <w:color w:val="000000" w:themeColor="text1"/>
          <w:sz w:val="24"/>
          <w:szCs w:val="24"/>
          <w:lang w:eastAsia="fr-FR"/>
        </w:rPr>
        <w:t>. Il résulte d</w:t>
      </w:r>
      <w:r w:rsidR="00B17D7E">
        <w:rPr>
          <w:rFonts w:ascii="Times New Roman" w:eastAsia="Times New Roman" w:hAnsi="Times New Roman" w:cs="Times New Roman"/>
          <w:color w:val="000000" w:themeColor="text1"/>
          <w:sz w:val="24"/>
          <w:szCs w:val="24"/>
          <w:lang w:eastAsia="fr-FR"/>
        </w:rPr>
        <w:t>e ce qui a été dit aux points 12</w:t>
      </w:r>
      <w:r w:rsidR="00EA516F">
        <w:rPr>
          <w:rFonts w:ascii="Times New Roman" w:eastAsia="Times New Roman" w:hAnsi="Times New Roman" w:cs="Times New Roman"/>
          <w:color w:val="000000" w:themeColor="text1"/>
          <w:sz w:val="24"/>
          <w:szCs w:val="24"/>
          <w:lang w:eastAsia="fr-FR"/>
        </w:rPr>
        <w:t xml:space="preserve"> </w:t>
      </w:r>
      <w:r w:rsidR="00B17D7E">
        <w:rPr>
          <w:rFonts w:ascii="Times New Roman" w:eastAsia="Times New Roman" w:hAnsi="Times New Roman" w:cs="Times New Roman"/>
          <w:color w:val="000000" w:themeColor="text1"/>
          <w:sz w:val="24"/>
          <w:szCs w:val="24"/>
          <w:lang w:eastAsia="fr-FR"/>
        </w:rPr>
        <w:t>et 15</w:t>
      </w:r>
      <w:r w:rsidR="00EA516F">
        <w:rPr>
          <w:rFonts w:ascii="Times New Roman" w:eastAsia="Times New Roman" w:hAnsi="Times New Roman" w:cs="Times New Roman"/>
          <w:color w:val="000000" w:themeColor="text1"/>
          <w:sz w:val="24"/>
          <w:szCs w:val="24"/>
          <w:lang w:eastAsia="fr-FR"/>
        </w:rPr>
        <w:t xml:space="preserve"> de ce jugement que le moyen tiré de la méconnaissance de l’article </w:t>
      </w:r>
      <w:r w:rsidR="00EA516F" w:rsidRPr="00EA516F">
        <w:rPr>
          <w:rFonts w:ascii="Times New Roman" w:eastAsia="Times New Roman" w:hAnsi="Times New Roman" w:cs="Times New Roman"/>
          <w:color w:val="000000" w:themeColor="text1"/>
          <w:sz w:val="24"/>
          <w:szCs w:val="24"/>
          <w:lang w:eastAsia="fr-FR"/>
        </w:rPr>
        <w:t>R.* 431-5 du code de l’urbanisme</w:t>
      </w:r>
      <w:r w:rsidR="00EA516F">
        <w:rPr>
          <w:rFonts w:ascii="Times New Roman" w:eastAsia="Times New Roman" w:hAnsi="Times New Roman" w:cs="Times New Roman"/>
          <w:color w:val="000000" w:themeColor="text1"/>
          <w:sz w:val="24"/>
          <w:szCs w:val="24"/>
          <w:lang w:eastAsia="fr-FR"/>
        </w:rPr>
        <w:t xml:space="preserve"> doit être écarté dans toutes ses branches. </w:t>
      </w:r>
    </w:p>
    <w:p w14:paraId="419B6EB9" w14:textId="77777777" w:rsidR="00D01448" w:rsidRDefault="00D01448" w:rsidP="00D01448">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6B31D619" w14:textId="03C84BB5" w:rsidR="00D01448" w:rsidRDefault="00D01448" w:rsidP="00B17D7E">
      <w:pPr>
        <w:spacing w:after="0" w:line="240" w:lineRule="auto"/>
        <w:jc w:val="both"/>
        <w:rPr>
          <w:rFonts w:ascii="Times New Roman" w:hAnsi="Times New Roman" w:cs="Times New Roman"/>
          <w:b/>
          <w:bCs/>
          <w:sz w:val="24"/>
          <w:szCs w:val="24"/>
          <w:u w:val="single"/>
        </w:rPr>
      </w:pPr>
      <w:r w:rsidRPr="00D01448">
        <w:rPr>
          <w:rFonts w:ascii="Times New Roman" w:hAnsi="Times New Roman" w:cs="Times New Roman"/>
          <w:b/>
          <w:bCs/>
          <w:sz w:val="24"/>
          <w:szCs w:val="24"/>
          <w:u w:val="single"/>
        </w:rPr>
        <w:t>Sur</w:t>
      </w:r>
      <w:r>
        <w:rPr>
          <w:rFonts w:ascii="Times New Roman" w:hAnsi="Times New Roman" w:cs="Times New Roman"/>
          <w:b/>
          <w:bCs/>
          <w:sz w:val="24"/>
          <w:szCs w:val="24"/>
          <w:u w:val="single"/>
        </w:rPr>
        <w:t xml:space="preserve"> le moyen tiré de la prétendue </w:t>
      </w:r>
      <w:r w:rsidRPr="00D01448">
        <w:rPr>
          <w:rFonts w:ascii="Times New Roman" w:hAnsi="Times New Roman" w:cs="Times New Roman"/>
          <w:b/>
          <w:bCs/>
          <w:sz w:val="24"/>
          <w:szCs w:val="24"/>
          <w:u w:val="single"/>
        </w:rPr>
        <w:t xml:space="preserve">existence d’une </w:t>
      </w:r>
      <w:r w:rsidR="00B17D7E">
        <w:rPr>
          <w:rStyle w:val="matchlocations"/>
          <w:rFonts w:ascii="Times New Roman" w:hAnsi="Times New Roman" w:cs="Times New Roman"/>
          <w:b/>
          <w:bCs/>
          <w:sz w:val="24"/>
          <w:szCs w:val="24"/>
          <w:u w:val="single"/>
        </w:rPr>
        <w:t xml:space="preserve">manœuvre frauduleuse : </w:t>
      </w:r>
    </w:p>
    <w:p w14:paraId="534664E5" w14:textId="1A961084" w:rsidR="00D01448" w:rsidRDefault="00D01448" w:rsidP="00D01448">
      <w:pPr>
        <w:spacing w:after="0" w:line="240" w:lineRule="auto"/>
        <w:ind w:firstLine="851"/>
        <w:jc w:val="both"/>
        <w:rPr>
          <w:rFonts w:ascii="Times New Roman" w:hAnsi="Times New Roman" w:cs="Times New Roman"/>
          <w:b/>
          <w:bCs/>
          <w:sz w:val="24"/>
          <w:szCs w:val="24"/>
          <w:u w:val="single"/>
        </w:rPr>
      </w:pPr>
    </w:p>
    <w:p w14:paraId="0A045E2A" w14:textId="4662941F" w:rsidR="00D01448" w:rsidRDefault="006853F4" w:rsidP="00D01448">
      <w:pPr>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17</w:t>
      </w:r>
      <w:r w:rsidR="00D01448" w:rsidRPr="00D01448">
        <w:rPr>
          <w:rFonts w:ascii="Times New Roman" w:hAnsi="Times New Roman" w:cs="Times New Roman"/>
          <w:bCs/>
          <w:sz w:val="24"/>
          <w:szCs w:val="24"/>
        </w:rPr>
        <w:t>. La caractérisation d’une fraude résulte de ce que le pétitionnaire a procédé de manière intentionnelle à des manœuvres de nature à tromper l’administration sur la réalité du projet dans le but d’échapper à l’application d’une règle d’urbanisme.</w:t>
      </w:r>
    </w:p>
    <w:p w14:paraId="09965DE4" w14:textId="05AC21B9" w:rsidR="00D01448" w:rsidRDefault="00D01448" w:rsidP="00D01448">
      <w:pPr>
        <w:spacing w:after="0" w:line="240" w:lineRule="auto"/>
        <w:ind w:firstLine="851"/>
        <w:jc w:val="both"/>
        <w:rPr>
          <w:rFonts w:ascii="Times New Roman" w:hAnsi="Times New Roman" w:cs="Times New Roman"/>
          <w:bCs/>
          <w:sz w:val="24"/>
          <w:szCs w:val="24"/>
        </w:rPr>
      </w:pPr>
    </w:p>
    <w:p w14:paraId="37965E5F" w14:textId="42942DFB" w:rsidR="00D01448" w:rsidRPr="0049436F" w:rsidRDefault="006853F4" w:rsidP="0049436F">
      <w:pPr>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18</w:t>
      </w:r>
      <w:r w:rsidR="00D01448">
        <w:rPr>
          <w:rFonts w:ascii="Times New Roman" w:hAnsi="Times New Roman" w:cs="Times New Roman"/>
          <w:bCs/>
          <w:sz w:val="24"/>
          <w:szCs w:val="24"/>
        </w:rPr>
        <w:t xml:space="preserve">. En l’espèce, </w:t>
      </w:r>
      <w:r w:rsidR="00D01448" w:rsidRPr="00D01448">
        <w:rPr>
          <w:rFonts w:ascii="Times New Roman" w:hAnsi="Times New Roman" w:cs="Times New Roman"/>
          <w:bCs/>
          <w:sz w:val="24"/>
          <w:szCs w:val="24"/>
        </w:rPr>
        <w:t>et à suppose</w:t>
      </w:r>
      <w:r w:rsidR="00D01448">
        <w:rPr>
          <w:rFonts w:ascii="Times New Roman" w:hAnsi="Times New Roman" w:cs="Times New Roman"/>
          <w:bCs/>
          <w:sz w:val="24"/>
          <w:szCs w:val="24"/>
        </w:rPr>
        <w:t xml:space="preserve">r que l’association requérante puisse être regardée comme invoquant l’existence d’une manœuvre frauduleuse en soutenant, comme </w:t>
      </w:r>
      <w:r w:rsidR="00B17D7E">
        <w:rPr>
          <w:rFonts w:ascii="Times New Roman" w:hAnsi="Times New Roman" w:cs="Times New Roman"/>
          <w:bCs/>
          <w:sz w:val="24"/>
          <w:szCs w:val="24"/>
        </w:rPr>
        <w:t>cela a été mentionné au point 12</w:t>
      </w:r>
      <w:r w:rsidR="00D01448">
        <w:rPr>
          <w:rFonts w:ascii="Times New Roman" w:hAnsi="Times New Roman" w:cs="Times New Roman"/>
          <w:bCs/>
          <w:sz w:val="24"/>
          <w:szCs w:val="24"/>
        </w:rPr>
        <w:t xml:space="preserve"> du jugement</w:t>
      </w:r>
      <w:r w:rsidR="00B17D7E">
        <w:rPr>
          <w:rFonts w:ascii="Times New Roman" w:hAnsi="Times New Roman" w:cs="Times New Roman"/>
          <w:bCs/>
          <w:sz w:val="24"/>
          <w:szCs w:val="24"/>
        </w:rPr>
        <w:t>,</w:t>
      </w:r>
      <w:r w:rsidR="00D01448">
        <w:rPr>
          <w:rFonts w:ascii="Times New Roman" w:hAnsi="Times New Roman" w:cs="Times New Roman"/>
          <w:bCs/>
          <w:sz w:val="24"/>
          <w:szCs w:val="24"/>
        </w:rPr>
        <w:t xml:space="preserve"> que </w:t>
      </w:r>
      <w:r w:rsidR="00D01448" w:rsidRPr="00D01448">
        <w:rPr>
          <w:rFonts w:ascii="Times New Roman" w:hAnsi="Times New Roman" w:cs="Times New Roman"/>
          <w:bCs/>
          <w:sz w:val="24"/>
          <w:szCs w:val="24"/>
        </w:rPr>
        <w:t>la demande de permis de construire litigieuse aurait dû mentionner que ledit permis de construire porte sur une installation, un ouvrage, des travaux ou une activité soumis à déclaration en application de la section 1 du chapitre IV du titre Ier du livre II du code de l'environnement</w:t>
      </w:r>
      <w:r w:rsidR="00E9271C">
        <w:rPr>
          <w:rFonts w:ascii="Times New Roman" w:hAnsi="Times New Roman" w:cs="Times New Roman"/>
          <w:bCs/>
          <w:sz w:val="24"/>
          <w:szCs w:val="24"/>
        </w:rPr>
        <w:t xml:space="preserve">, il résulte </w:t>
      </w:r>
      <w:r w:rsidR="00D01448" w:rsidRPr="00D01448">
        <w:rPr>
          <w:rFonts w:ascii="Times New Roman" w:hAnsi="Times New Roman" w:cs="Times New Roman"/>
          <w:bCs/>
          <w:sz w:val="24"/>
          <w:szCs w:val="24"/>
        </w:rPr>
        <w:t xml:space="preserve">de ce qui a été dit </w:t>
      </w:r>
      <w:r w:rsidR="0049436F">
        <w:rPr>
          <w:rFonts w:ascii="Times New Roman" w:hAnsi="Times New Roman" w:cs="Times New Roman"/>
          <w:bCs/>
          <w:sz w:val="24"/>
          <w:szCs w:val="24"/>
        </w:rPr>
        <w:t>à ce même point</w:t>
      </w:r>
      <w:r w:rsidR="00D01448" w:rsidRPr="00D01448">
        <w:rPr>
          <w:rFonts w:ascii="Times New Roman" w:hAnsi="Times New Roman" w:cs="Times New Roman"/>
          <w:bCs/>
          <w:sz w:val="24"/>
          <w:szCs w:val="24"/>
        </w:rPr>
        <w:t xml:space="preserve"> que </w:t>
      </w:r>
      <w:r w:rsidR="00E9271C">
        <w:rPr>
          <w:rFonts w:ascii="Times New Roman" w:hAnsi="Times New Roman" w:cs="Times New Roman"/>
          <w:bCs/>
          <w:sz w:val="24"/>
          <w:szCs w:val="24"/>
        </w:rPr>
        <w:t xml:space="preserve">ni l’élément matériel, ni, en tout état de cause, </w:t>
      </w:r>
      <w:r w:rsidR="00D01448" w:rsidRPr="00D01448">
        <w:rPr>
          <w:rFonts w:ascii="Times New Roman" w:hAnsi="Times New Roman" w:cs="Times New Roman"/>
          <w:bCs/>
          <w:sz w:val="24"/>
          <w:szCs w:val="24"/>
        </w:rPr>
        <w:t>l’élément intentionnel d’une telle manœuvre frauduleuse ne sont</w:t>
      </w:r>
      <w:r w:rsidR="0049436F">
        <w:rPr>
          <w:rFonts w:ascii="Times New Roman" w:hAnsi="Times New Roman" w:cs="Times New Roman"/>
          <w:bCs/>
          <w:sz w:val="24"/>
          <w:szCs w:val="24"/>
        </w:rPr>
        <w:t>, en l’espèce</w:t>
      </w:r>
      <w:r w:rsidR="00B17D7E">
        <w:rPr>
          <w:rFonts w:ascii="Times New Roman" w:hAnsi="Times New Roman" w:cs="Times New Roman"/>
          <w:bCs/>
          <w:sz w:val="24"/>
          <w:szCs w:val="24"/>
        </w:rPr>
        <w:t>,</w:t>
      </w:r>
      <w:r w:rsidR="00D01448" w:rsidRPr="00D01448">
        <w:rPr>
          <w:rFonts w:ascii="Times New Roman" w:hAnsi="Times New Roman" w:cs="Times New Roman"/>
          <w:bCs/>
          <w:sz w:val="24"/>
          <w:szCs w:val="24"/>
        </w:rPr>
        <w:t xml:space="preserve"> établis</w:t>
      </w:r>
      <w:r w:rsidR="00E9271C">
        <w:rPr>
          <w:rFonts w:ascii="Times New Roman" w:hAnsi="Times New Roman" w:cs="Times New Roman"/>
          <w:bCs/>
          <w:sz w:val="24"/>
          <w:szCs w:val="24"/>
        </w:rPr>
        <w:t xml:space="preserve">. Par suite, un tel moyen doit </w:t>
      </w:r>
      <w:r w:rsidR="00B17D7E">
        <w:rPr>
          <w:rFonts w:ascii="Times New Roman" w:hAnsi="Times New Roman" w:cs="Times New Roman"/>
          <w:bCs/>
          <w:sz w:val="24"/>
          <w:szCs w:val="24"/>
        </w:rPr>
        <w:t xml:space="preserve">être écarté comme manquant en fait. </w:t>
      </w:r>
    </w:p>
    <w:p w14:paraId="547DB9C2" w14:textId="25682E8B" w:rsidR="00C80B32" w:rsidRDefault="00C80B32" w:rsidP="0049436F">
      <w:pPr>
        <w:spacing w:after="0" w:line="240" w:lineRule="auto"/>
        <w:jc w:val="both"/>
        <w:rPr>
          <w:rFonts w:ascii="Times New Roman" w:eastAsia="Times New Roman" w:hAnsi="Times New Roman" w:cs="Times New Roman"/>
          <w:color w:val="000000" w:themeColor="text1"/>
          <w:sz w:val="24"/>
          <w:szCs w:val="24"/>
          <w:lang w:eastAsia="fr-FR"/>
        </w:rPr>
      </w:pPr>
    </w:p>
    <w:p w14:paraId="39616421" w14:textId="16D664AA" w:rsidR="00C80B32" w:rsidRDefault="00C80B32" w:rsidP="006853F4">
      <w:pPr>
        <w:spacing w:after="0" w:line="240" w:lineRule="auto"/>
        <w:jc w:val="both"/>
        <w:rPr>
          <w:rFonts w:ascii="Times New Roman" w:eastAsia="Times New Roman" w:hAnsi="Times New Roman" w:cs="Times New Roman"/>
          <w:b/>
          <w:color w:val="000000" w:themeColor="text1"/>
          <w:sz w:val="24"/>
          <w:szCs w:val="24"/>
          <w:u w:val="single"/>
          <w:lang w:eastAsia="fr-FR"/>
        </w:rPr>
      </w:pPr>
      <w:r w:rsidRPr="00C80B32">
        <w:rPr>
          <w:rFonts w:ascii="Times New Roman" w:eastAsia="Times New Roman" w:hAnsi="Times New Roman" w:cs="Times New Roman"/>
          <w:b/>
          <w:color w:val="000000" w:themeColor="text1"/>
          <w:sz w:val="24"/>
          <w:szCs w:val="24"/>
          <w:u w:val="single"/>
          <w:lang w:eastAsia="fr-FR"/>
        </w:rPr>
        <w:t>Sur le moyen tiré de la prétendue insuffisance de l’étude d’impact :</w:t>
      </w:r>
    </w:p>
    <w:p w14:paraId="39E07F10" w14:textId="7F739D57" w:rsidR="006853F4" w:rsidRDefault="006853F4" w:rsidP="00C80B32">
      <w:pPr>
        <w:spacing w:after="0" w:line="240" w:lineRule="auto"/>
        <w:ind w:firstLine="851"/>
        <w:jc w:val="both"/>
        <w:rPr>
          <w:rFonts w:ascii="Times New Roman" w:eastAsia="Times New Roman" w:hAnsi="Times New Roman" w:cs="Times New Roman"/>
          <w:b/>
          <w:color w:val="000000" w:themeColor="text1"/>
          <w:sz w:val="24"/>
          <w:szCs w:val="24"/>
          <w:u w:val="single"/>
          <w:lang w:eastAsia="fr-FR"/>
        </w:rPr>
      </w:pPr>
    </w:p>
    <w:p w14:paraId="789F6D86" w14:textId="77777777" w:rsidR="006853F4" w:rsidRPr="006853F4" w:rsidRDefault="006853F4" w:rsidP="006853F4">
      <w:pPr>
        <w:spacing w:after="0" w:line="240" w:lineRule="auto"/>
        <w:ind w:firstLine="851"/>
        <w:jc w:val="both"/>
        <w:rPr>
          <w:rFonts w:ascii="Times New Roman" w:hAnsi="Times New Roman" w:cs="Times New Roman"/>
          <w:sz w:val="24"/>
          <w:szCs w:val="24"/>
        </w:rPr>
      </w:pPr>
      <w:r w:rsidRPr="006853F4">
        <w:rPr>
          <w:rFonts w:ascii="Times New Roman" w:eastAsia="Times New Roman" w:hAnsi="Times New Roman" w:cs="Times New Roman"/>
          <w:color w:val="000000" w:themeColor="text1"/>
          <w:sz w:val="24"/>
          <w:szCs w:val="24"/>
          <w:lang w:eastAsia="fr-FR"/>
        </w:rPr>
        <w:t xml:space="preserve">19. </w:t>
      </w:r>
      <w:r w:rsidRPr="006853F4">
        <w:rPr>
          <w:rFonts w:ascii="Times New Roman" w:hAnsi="Times New Roman" w:cs="Times New Roman"/>
          <w:sz w:val="24"/>
          <w:szCs w:val="24"/>
        </w:rPr>
        <w:t xml:space="preserve">D’une part, aux termes du II de l’article L. 122-1 du code de l’environnement : « </w:t>
      </w:r>
      <w:r w:rsidRPr="006853F4">
        <w:rPr>
          <w:rFonts w:ascii="Times New Roman" w:hAnsi="Times New Roman" w:cs="Times New Roman"/>
          <w:i/>
          <w:sz w:val="24"/>
          <w:szCs w:val="24"/>
        </w:rPr>
        <w:t>Les projets qui, par leur nature, leur dimension ou leur localisation, sont susceptibles d'avoir des incidences notables sur l'environnement ou la santé humaine font l'objet d'une évaluation environnementale en fonction de critères et de seuils définis par voie réglementaire et, pour certains d'entre eux, après un examen au cas par cas. / (…)</w:t>
      </w:r>
      <w:r w:rsidRPr="006853F4">
        <w:rPr>
          <w:rFonts w:ascii="Times New Roman" w:hAnsi="Times New Roman" w:cs="Times New Roman"/>
          <w:sz w:val="24"/>
          <w:szCs w:val="24"/>
        </w:rPr>
        <w:t xml:space="preserve"> ». Aux termes du III de ce même article : « </w:t>
      </w:r>
      <w:r w:rsidRPr="006853F4">
        <w:rPr>
          <w:rFonts w:ascii="Times New Roman" w:hAnsi="Times New Roman" w:cs="Times New Roman"/>
          <w:i/>
          <w:sz w:val="24"/>
          <w:szCs w:val="24"/>
        </w:rPr>
        <w:t>L'évaluation environnementale est un processus constitué de l'élaboration, par le maître d'ouvrage, d'un rapport d'évaluation des incidences sur l'environnement, dénommé ci-après " étude d'impact ", de la réalisation des consultations prévues à la présente section, ainsi que de l'examen, par l'autorité compétente pour autoriser le projet, de l'ensemble des informations présentées dans l'étude d'impact et reçues dans le cadre des consultations effectuées et du maître d'ouvrage. / (…)</w:t>
      </w:r>
      <w:r w:rsidRPr="006853F4">
        <w:rPr>
          <w:rFonts w:ascii="Times New Roman" w:hAnsi="Times New Roman" w:cs="Times New Roman"/>
          <w:sz w:val="24"/>
          <w:szCs w:val="24"/>
        </w:rPr>
        <w:t> ». Aux termes de l’article R. 431-16 du code de l’urbanisme : « </w:t>
      </w:r>
      <w:r w:rsidRPr="006853F4">
        <w:rPr>
          <w:rFonts w:ascii="Times New Roman" w:hAnsi="Times New Roman" w:cs="Times New Roman"/>
          <w:i/>
          <w:sz w:val="24"/>
          <w:szCs w:val="24"/>
        </w:rPr>
        <w:t>Le dossier joint à la demande de permis de construire comprend en outre, selon les cas : / a) L'étude d'impact (…) / c) Le dossier d'évaluation des incidences du projet sur un site Natura 2000 prévu à l'article R. 414-23 du code de l'environnement, dans le cas où le projet doit faire l'objet d'une telle évaluation en application de l'article L. 414-4 de ce code. Toutefois, lorsque le dossier de demande comporte une étude d'impact, cette étude tient lieu de dossier d'évaluation des incidences Natura 2000 si elle satisfait aux prescriptions de l'article R. 414-23 du code de l'environnement, conformément aux dispositions prévues à l'article R. 414-22 de ce code ; / (…)</w:t>
      </w:r>
      <w:r w:rsidRPr="006853F4">
        <w:rPr>
          <w:rFonts w:ascii="Times New Roman" w:hAnsi="Times New Roman" w:cs="Times New Roman"/>
          <w:sz w:val="24"/>
          <w:szCs w:val="24"/>
        </w:rPr>
        <w:t xml:space="preserve"> ». </w:t>
      </w:r>
    </w:p>
    <w:p w14:paraId="1739A771" w14:textId="77777777" w:rsidR="006853F4" w:rsidRPr="006853F4" w:rsidRDefault="006853F4" w:rsidP="006853F4">
      <w:pPr>
        <w:spacing w:after="0" w:line="240" w:lineRule="auto"/>
        <w:ind w:firstLine="851"/>
        <w:jc w:val="both"/>
        <w:rPr>
          <w:rFonts w:ascii="Times New Roman" w:hAnsi="Times New Roman" w:cs="Times New Roman"/>
          <w:sz w:val="24"/>
          <w:szCs w:val="24"/>
        </w:rPr>
      </w:pPr>
    </w:p>
    <w:p w14:paraId="19D953F9" w14:textId="5D85CDC4" w:rsidR="006853F4" w:rsidRPr="006853F4" w:rsidRDefault="006853F4" w:rsidP="006853F4">
      <w:pPr>
        <w:spacing w:after="0" w:line="240" w:lineRule="auto"/>
        <w:ind w:firstLine="851"/>
        <w:jc w:val="both"/>
        <w:rPr>
          <w:rFonts w:ascii="Times New Roman" w:hAnsi="Times New Roman" w:cs="Times New Roman"/>
          <w:sz w:val="24"/>
          <w:szCs w:val="24"/>
        </w:rPr>
      </w:pPr>
      <w:r w:rsidRPr="006853F4">
        <w:rPr>
          <w:rFonts w:ascii="Times New Roman" w:hAnsi="Times New Roman" w:cs="Times New Roman"/>
          <w:sz w:val="24"/>
          <w:szCs w:val="24"/>
        </w:rPr>
        <w:t>2</w:t>
      </w:r>
      <w:r>
        <w:rPr>
          <w:rFonts w:ascii="Times New Roman" w:hAnsi="Times New Roman" w:cs="Times New Roman"/>
          <w:sz w:val="24"/>
          <w:szCs w:val="24"/>
        </w:rPr>
        <w:t>0</w:t>
      </w:r>
      <w:r w:rsidRPr="006853F4">
        <w:rPr>
          <w:rFonts w:ascii="Times New Roman" w:hAnsi="Times New Roman" w:cs="Times New Roman"/>
          <w:sz w:val="24"/>
          <w:szCs w:val="24"/>
        </w:rPr>
        <w:t xml:space="preserve">. D’autre part, il est constant que les dispositions de l’article R. 122-5 du code de l’environnement définissent le contenu de l’étude d’impact qui doit être proportionné à la sensibilité environnementale de la zone susceptible d’être affectée par le projet, à l’importance et à la nature des travaux, ouvrages et aménagements projetés et à leurs incidences prévisibles sur l’environnement ou la santé humaine. </w:t>
      </w:r>
    </w:p>
    <w:p w14:paraId="0A60AE2B" w14:textId="6C1989DE" w:rsidR="00E436D7" w:rsidRPr="006853F4" w:rsidRDefault="00E436D7" w:rsidP="006853F4">
      <w:pPr>
        <w:spacing w:after="0" w:line="240" w:lineRule="auto"/>
        <w:ind w:firstLine="851"/>
        <w:jc w:val="both"/>
        <w:rPr>
          <w:rFonts w:ascii="Times New Roman" w:hAnsi="Times New Roman" w:cs="Times New Roman"/>
          <w:sz w:val="24"/>
          <w:szCs w:val="24"/>
        </w:rPr>
      </w:pPr>
    </w:p>
    <w:p w14:paraId="160FA978" w14:textId="1845BE8B" w:rsidR="006853F4" w:rsidRDefault="006853F4" w:rsidP="006853F4">
      <w:pPr>
        <w:spacing w:after="0" w:line="240" w:lineRule="auto"/>
        <w:ind w:firstLine="851"/>
        <w:jc w:val="both"/>
        <w:rPr>
          <w:rFonts w:ascii="Times New Roman" w:hAnsi="Times New Roman" w:cs="Times New Roman"/>
          <w:sz w:val="24"/>
          <w:szCs w:val="24"/>
        </w:rPr>
      </w:pPr>
      <w:r w:rsidRPr="006853F4">
        <w:rPr>
          <w:rFonts w:ascii="Times New Roman" w:hAnsi="Times New Roman" w:cs="Times New Roman"/>
          <w:sz w:val="24"/>
          <w:szCs w:val="24"/>
        </w:rPr>
        <w:t>2</w:t>
      </w:r>
      <w:r>
        <w:rPr>
          <w:rFonts w:ascii="Times New Roman" w:hAnsi="Times New Roman" w:cs="Times New Roman"/>
          <w:sz w:val="24"/>
          <w:szCs w:val="24"/>
        </w:rPr>
        <w:t>1</w:t>
      </w:r>
      <w:r w:rsidRPr="006853F4">
        <w:rPr>
          <w:rFonts w:ascii="Times New Roman" w:hAnsi="Times New Roman" w:cs="Times New Roman"/>
          <w:sz w:val="24"/>
          <w:szCs w:val="24"/>
        </w:rPr>
        <w:t xml:space="preserve">. Enfin, les inexactitudes, omissions ou insuffisances d’une étude d’impact ne sont susceptibles de vicier la procédure et donc d’entraîner l’illégalité de la décision prise au vu de </w:t>
      </w:r>
      <w:r w:rsidRPr="006853F4">
        <w:rPr>
          <w:rFonts w:ascii="Times New Roman" w:hAnsi="Times New Roman" w:cs="Times New Roman"/>
          <w:sz w:val="24"/>
          <w:szCs w:val="24"/>
        </w:rPr>
        <w:lastRenderedPageBreak/>
        <w:t>cette étude que si elles ont pu avoir pour effet de nuire à l’information complète de la population ou si elles ont été de nature à exercer une influence sur la décision de l’autorité administrative.</w:t>
      </w:r>
    </w:p>
    <w:p w14:paraId="46ABA460" w14:textId="2B0C1742" w:rsidR="006853F4" w:rsidRDefault="006853F4" w:rsidP="006853F4">
      <w:pPr>
        <w:spacing w:after="0" w:line="240" w:lineRule="auto"/>
        <w:ind w:firstLine="851"/>
        <w:jc w:val="both"/>
        <w:rPr>
          <w:rFonts w:ascii="Times New Roman" w:hAnsi="Times New Roman" w:cs="Times New Roman"/>
          <w:sz w:val="24"/>
          <w:szCs w:val="24"/>
        </w:rPr>
      </w:pPr>
    </w:p>
    <w:p w14:paraId="09E4FFDE" w14:textId="18B0F8AC" w:rsidR="006853F4" w:rsidRPr="006853F4" w:rsidRDefault="006853F4" w:rsidP="00B17D7E">
      <w:pPr>
        <w:spacing w:after="0" w:line="240" w:lineRule="auto"/>
        <w:jc w:val="both"/>
        <w:rPr>
          <w:rFonts w:ascii="Times New Roman" w:hAnsi="Times New Roman" w:cs="Times New Roman"/>
          <w:b/>
          <w:sz w:val="24"/>
          <w:szCs w:val="24"/>
          <w:u w:val="single"/>
        </w:rPr>
      </w:pPr>
      <w:r w:rsidRPr="006853F4">
        <w:rPr>
          <w:rFonts w:ascii="Times New Roman" w:hAnsi="Times New Roman" w:cs="Times New Roman"/>
          <w:b/>
          <w:sz w:val="24"/>
          <w:szCs w:val="24"/>
          <w:u w:val="single"/>
        </w:rPr>
        <w:t>En ce qui concerne les incidences du projet sur des sites Natura 2000 :</w:t>
      </w:r>
    </w:p>
    <w:p w14:paraId="58409C86" w14:textId="602C3151" w:rsidR="006853F4" w:rsidRDefault="006853F4" w:rsidP="006853F4">
      <w:pPr>
        <w:spacing w:after="0" w:line="240" w:lineRule="auto"/>
        <w:ind w:firstLine="851"/>
        <w:jc w:val="both"/>
        <w:rPr>
          <w:rFonts w:ascii="Times New Roman" w:hAnsi="Times New Roman" w:cs="Times New Roman"/>
          <w:sz w:val="24"/>
          <w:szCs w:val="24"/>
        </w:rPr>
      </w:pPr>
    </w:p>
    <w:p w14:paraId="416936AF" w14:textId="54E3E455" w:rsidR="00066953" w:rsidRDefault="006853F4" w:rsidP="00EA7C3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22. </w:t>
      </w:r>
      <w:r w:rsidR="00E436D7">
        <w:rPr>
          <w:rFonts w:ascii="Times New Roman" w:hAnsi="Times New Roman" w:cs="Times New Roman"/>
          <w:sz w:val="24"/>
          <w:szCs w:val="24"/>
        </w:rPr>
        <w:t>D</w:t>
      </w:r>
      <w:r w:rsidR="00066953">
        <w:rPr>
          <w:rFonts w:ascii="Times New Roman" w:hAnsi="Times New Roman" w:cs="Times New Roman"/>
          <w:sz w:val="24"/>
          <w:szCs w:val="24"/>
        </w:rPr>
        <w:t xml:space="preserve">’une part, </w:t>
      </w:r>
      <w:r w:rsidR="00066953" w:rsidRPr="00066953">
        <w:rPr>
          <w:rFonts w:ascii="Times New Roman" w:hAnsi="Times New Roman" w:cs="Times New Roman"/>
          <w:sz w:val="24"/>
          <w:szCs w:val="24"/>
        </w:rPr>
        <w:t>si l</w:t>
      </w:r>
      <w:r w:rsidR="00066953">
        <w:rPr>
          <w:rFonts w:ascii="Times New Roman" w:hAnsi="Times New Roman" w:cs="Times New Roman"/>
          <w:sz w:val="24"/>
          <w:szCs w:val="24"/>
        </w:rPr>
        <w:t xml:space="preserve">’association requérante invoque </w:t>
      </w:r>
      <w:r w:rsidR="00066953" w:rsidRPr="00066953">
        <w:rPr>
          <w:rFonts w:ascii="Times New Roman" w:hAnsi="Times New Roman" w:cs="Times New Roman"/>
          <w:sz w:val="24"/>
          <w:szCs w:val="24"/>
        </w:rPr>
        <w:t xml:space="preserve">la méconnaissance </w:t>
      </w:r>
      <w:r w:rsidR="00066953">
        <w:rPr>
          <w:rFonts w:ascii="Times New Roman" w:hAnsi="Times New Roman" w:cs="Times New Roman"/>
          <w:sz w:val="24"/>
          <w:szCs w:val="24"/>
        </w:rPr>
        <w:t xml:space="preserve">des </w:t>
      </w:r>
      <w:r w:rsidR="00066953" w:rsidRPr="00066953">
        <w:rPr>
          <w:rFonts w:ascii="Times New Roman" w:hAnsi="Times New Roman" w:cs="Times New Roman"/>
          <w:sz w:val="24"/>
          <w:szCs w:val="24"/>
        </w:rPr>
        <w:t xml:space="preserve">dispositions de l’article L. 414-4 du code de l’environnement relatives à la protection des sites </w:t>
      </w:r>
      <w:r w:rsidR="00B17D7E">
        <w:rPr>
          <w:rFonts w:ascii="Times New Roman" w:hAnsi="Times New Roman" w:cs="Times New Roman"/>
          <w:sz w:val="24"/>
          <w:szCs w:val="24"/>
        </w:rPr>
        <w:t>Natura 2000, et ne se prévaut</w:t>
      </w:r>
      <w:r w:rsidR="00066953">
        <w:rPr>
          <w:rFonts w:ascii="Times New Roman" w:hAnsi="Times New Roman" w:cs="Times New Roman"/>
          <w:sz w:val="24"/>
          <w:szCs w:val="24"/>
        </w:rPr>
        <w:t>, à l’appui de ce moyen,</w:t>
      </w:r>
      <w:r w:rsidR="00066953" w:rsidRPr="00066953">
        <w:rPr>
          <w:rFonts w:ascii="Times New Roman" w:hAnsi="Times New Roman" w:cs="Times New Roman"/>
          <w:sz w:val="24"/>
          <w:szCs w:val="24"/>
        </w:rPr>
        <w:t xml:space="preserve"> d’aucune règle applicable en matière d’urbanisme,</w:t>
      </w:r>
      <w:r w:rsidR="00EA7C37">
        <w:rPr>
          <w:rFonts w:ascii="Times New Roman" w:hAnsi="Times New Roman" w:cs="Times New Roman"/>
          <w:sz w:val="24"/>
          <w:szCs w:val="24"/>
        </w:rPr>
        <w:t xml:space="preserve"> un tel moyen doit toutefois être regardé comme une branche de celui </w:t>
      </w:r>
      <w:r w:rsidR="00066953" w:rsidRPr="00066953">
        <w:rPr>
          <w:rFonts w:ascii="Times New Roman" w:hAnsi="Times New Roman" w:cs="Times New Roman"/>
          <w:sz w:val="24"/>
          <w:szCs w:val="24"/>
        </w:rPr>
        <w:t xml:space="preserve">tiré de l’insuffisance de l’étude d’impact </w:t>
      </w:r>
      <w:r w:rsidR="00066953">
        <w:rPr>
          <w:rFonts w:ascii="Times New Roman" w:hAnsi="Times New Roman" w:cs="Times New Roman"/>
          <w:sz w:val="24"/>
          <w:szCs w:val="24"/>
        </w:rPr>
        <w:t xml:space="preserve">dont les </w:t>
      </w:r>
      <w:r w:rsidR="00066953" w:rsidRPr="00EA7C37">
        <w:rPr>
          <w:rFonts w:ascii="Times New Roman" w:hAnsi="Times New Roman" w:cs="Times New Roman"/>
          <w:sz w:val="24"/>
          <w:szCs w:val="24"/>
        </w:rPr>
        <w:t>dispositions précitées de l’article R. 431-16 du code de l’urbanisme</w:t>
      </w:r>
      <w:r w:rsidR="00EA7C37" w:rsidRPr="00EA7C37">
        <w:rPr>
          <w:rFonts w:ascii="Times New Roman" w:hAnsi="Times New Roman" w:cs="Times New Roman"/>
          <w:sz w:val="24"/>
          <w:szCs w:val="24"/>
        </w:rPr>
        <w:t xml:space="preserve"> imposent qu’elle soit jointe au dossier de la demande de permis de construire alors qu’une telle étude d’impact tient </w:t>
      </w:r>
      <w:r w:rsidR="00EA7C37">
        <w:rPr>
          <w:rFonts w:ascii="Times New Roman" w:hAnsi="Times New Roman" w:cs="Times New Roman"/>
          <w:sz w:val="24"/>
          <w:szCs w:val="24"/>
        </w:rPr>
        <w:t xml:space="preserve">également </w:t>
      </w:r>
      <w:r w:rsidR="00EA7C37" w:rsidRPr="00EA7C37">
        <w:rPr>
          <w:rFonts w:ascii="Times New Roman" w:hAnsi="Times New Roman" w:cs="Times New Roman"/>
          <w:sz w:val="24"/>
          <w:szCs w:val="24"/>
        </w:rPr>
        <w:t>lieu, en application du c) de ces mêmes dispositions</w:t>
      </w:r>
      <w:r w:rsidR="00EA7C37">
        <w:rPr>
          <w:rFonts w:ascii="Times New Roman" w:hAnsi="Times New Roman" w:cs="Times New Roman"/>
          <w:sz w:val="24"/>
          <w:szCs w:val="24"/>
        </w:rPr>
        <w:t xml:space="preserve"> du code de l’urbanisme,</w:t>
      </w:r>
      <w:r w:rsidR="00EA7C37" w:rsidRPr="00EA7C37">
        <w:rPr>
          <w:rFonts w:ascii="Times New Roman" w:hAnsi="Times New Roman" w:cs="Times New Roman"/>
          <w:sz w:val="24"/>
          <w:szCs w:val="24"/>
        </w:rPr>
        <w:t xml:space="preserve"> de dossier d'évaluation des incidences Natura 2000</w:t>
      </w:r>
      <w:r w:rsidR="00EA7C37">
        <w:rPr>
          <w:rFonts w:ascii="Times New Roman" w:hAnsi="Times New Roman" w:cs="Times New Roman"/>
          <w:sz w:val="24"/>
          <w:szCs w:val="24"/>
        </w:rPr>
        <w:t xml:space="preserve"> qui doit également être joint, lorsqu’une telle évaluation est requise en application de l'article L. 414-4 du code de l’environnement, audit dossier de demande de permis de </w:t>
      </w:r>
      <w:r w:rsidR="00B17D7E">
        <w:rPr>
          <w:rFonts w:ascii="Times New Roman" w:hAnsi="Times New Roman" w:cs="Times New Roman"/>
          <w:sz w:val="24"/>
          <w:szCs w:val="24"/>
        </w:rPr>
        <w:t>construire</w:t>
      </w:r>
      <w:r w:rsidR="00EA7C37">
        <w:rPr>
          <w:rFonts w:ascii="Times New Roman" w:hAnsi="Times New Roman" w:cs="Times New Roman"/>
          <w:sz w:val="24"/>
          <w:szCs w:val="24"/>
        </w:rPr>
        <w:t xml:space="preserve">. </w:t>
      </w:r>
    </w:p>
    <w:p w14:paraId="24C4A625" w14:textId="6FA6466A" w:rsidR="00EA7C37" w:rsidRDefault="00EA7C37" w:rsidP="00EA7C37">
      <w:pPr>
        <w:spacing w:after="0" w:line="240" w:lineRule="auto"/>
        <w:ind w:firstLine="851"/>
        <w:jc w:val="both"/>
        <w:rPr>
          <w:rFonts w:ascii="Times New Roman" w:hAnsi="Times New Roman" w:cs="Times New Roman"/>
          <w:sz w:val="24"/>
          <w:szCs w:val="24"/>
        </w:rPr>
      </w:pPr>
    </w:p>
    <w:p w14:paraId="58E8373C" w14:textId="28AEB4A1" w:rsidR="00EA7C37" w:rsidRDefault="00EA7C37" w:rsidP="00182A7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23. </w:t>
      </w:r>
      <w:r w:rsidR="00C725D4">
        <w:rPr>
          <w:rFonts w:ascii="Times New Roman" w:hAnsi="Times New Roman" w:cs="Times New Roman"/>
          <w:sz w:val="24"/>
          <w:szCs w:val="24"/>
        </w:rPr>
        <w:t>D’autre part,</w:t>
      </w:r>
      <w:r w:rsidR="00182A70">
        <w:rPr>
          <w:rFonts w:ascii="Times New Roman" w:hAnsi="Times New Roman" w:cs="Times New Roman"/>
          <w:sz w:val="24"/>
          <w:szCs w:val="24"/>
        </w:rPr>
        <w:t xml:space="preserve"> </w:t>
      </w:r>
      <w:r w:rsidR="00C725D4" w:rsidRPr="00C725D4">
        <w:rPr>
          <w:rFonts w:ascii="Times New Roman" w:hAnsi="Times New Roman" w:cs="Times New Roman"/>
          <w:sz w:val="24"/>
          <w:szCs w:val="24"/>
        </w:rPr>
        <w:t>il ressort des pièces du dossier que le site d’implantation du projet litigieux n’est pas identifié comme un site Natura 2000.</w:t>
      </w:r>
      <w:r w:rsidR="00C725D4">
        <w:rPr>
          <w:rFonts w:ascii="Times New Roman" w:hAnsi="Times New Roman" w:cs="Times New Roman"/>
          <w:sz w:val="24"/>
          <w:szCs w:val="24"/>
        </w:rPr>
        <w:t xml:space="preserve"> En outre, il ressort des mêmes pièces que </w:t>
      </w:r>
      <w:r w:rsidR="00C725D4" w:rsidRPr="00C725D4">
        <w:rPr>
          <w:rFonts w:ascii="Times New Roman" w:hAnsi="Times New Roman" w:cs="Times New Roman"/>
          <w:sz w:val="24"/>
          <w:szCs w:val="24"/>
        </w:rPr>
        <w:t xml:space="preserve">ledit site, du fait de sa proximité avec quatre zones Natura 2000 à savoir les zones « </w:t>
      </w:r>
      <w:r w:rsidR="00C725D4" w:rsidRPr="00C37F0F">
        <w:rPr>
          <w:rFonts w:ascii="Times New Roman" w:hAnsi="Times New Roman" w:cs="Times New Roman"/>
          <w:i/>
          <w:sz w:val="24"/>
          <w:szCs w:val="24"/>
        </w:rPr>
        <w:t>Basse Vallée du Var</w:t>
      </w:r>
      <w:r w:rsidR="00C725D4" w:rsidRPr="00C725D4">
        <w:rPr>
          <w:rFonts w:ascii="Times New Roman" w:hAnsi="Times New Roman" w:cs="Times New Roman"/>
          <w:sz w:val="24"/>
          <w:szCs w:val="24"/>
        </w:rPr>
        <w:t xml:space="preserve"> », « </w:t>
      </w:r>
      <w:r w:rsidR="00C725D4" w:rsidRPr="00C37F0F">
        <w:rPr>
          <w:rFonts w:ascii="Times New Roman" w:hAnsi="Times New Roman" w:cs="Times New Roman"/>
          <w:i/>
          <w:sz w:val="24"/>
          <w:szCs w:val="24"/>
        </w:rPr>
        <w:t xml:space="preserve">Gorges de la Vésubie et du Var-Mont Vial-Mont </w:t>
      </w:r>
      <w:proofErr w:type="spellStart"/>
      <w:r w:rsidR="00C725D4" w:rsidRPr="00C37F0F">
        <w:rPr>
          <w:rFonts w:ascii="Times New Roman" w:hAnsi="Times New Roman" w:cs="Times New Roman"/>
          <w:i/>
          <w:sz w:val="24"/>
          <w:szCs w:val="24"/>
        </w:rPr>
        <w:t>Ferion</w:t>
      </w:r>
      <w:proofErr w:type="spellEnd"/>
      <w:r w:rsidR="00C725D4" w:rsidRPr="00C725D4">
        <w:rPr>
          <w:rFonts w:ascii="Times New Roman" w:hAnsi="Times New Roman" w:cs="Times New Roman"/>
          <w:sz w:val="24"/>
          <w:szCs w:val="24"/>
        </w:rPr>
        <w:t xml:space="preserve"> », « </w:t>
      </w:r>
      <w:proofErr w:type="spellStart"/>
      <w:r w:rsidR="00C725D4" w:rsidRPr="00C37F0F">
        <w:rPr>
          <w:rFonts w:ascii="Times New Roman" w:hAnsi="Times New Roman" w:cs="Times New Roman"/>
          <w:i/>
          <w:sz w:val="24"/>
          <w:szCs w:val="24"/>
        </w:rPr>
        <w:t>Brec</w:t>
      </w:r>
      <w:proofErr w:type="spellEnd"/>
      <w:r w:rsidR="00C725D4" w:rsidRPr="00C37F0F">
        <w:rPr>
          <w:rFonts w:ascii="Times New Roman" w:hAnsi="Times New Roman" w:cs="Times New Roman"/>
          <w:i/>
          <w:sz w:val="24"/>
          <w:szCs w:val="24"/>
        </w:rPr>
        <w:t xml:space="preserve"> d’Utelle</w:t>
      </w:r>
      <w:r w:rsidR="00C725D4" w:rsidRPr="00C725D4">
        <w:rPr>
          <w:rFonts w:ascii="Times New Roman" w:hAnsi="Times New Roman" w:cs="Times New Roman"/>
          <w:sz w:val="24"/>
          <w:szCs w:val="24"/>
        </w:rPr>
        <w:t xml:space="preserve"> » et « </w:t>
      </w:r>
      <w:r w:rsidR="00C725D4" w:rsidRPr="00C37F0F">
        <w:rPr>
          <w:rFonts w:ascii="Times New Roman" w:hAnsi="Times New Roman" w:cs="Times New Roman"/>
          <w:i/>
          <w:sz w:val="24"/>
          <w:szCs w:val="24"/>
        </w:rPr>
        <w:t>Vallons obscurs de Nice et de Saint-Blaise</w:t>
      </w:r>
      <w:r w:rsidR="00C725D4" w:rsidRPr="00C725D4">
        <w:rPr>
          <w:rFonts w:ascii="Times New Roman" w:hAnsi="Times New Roman" w:cs="Times New Roman"/>
          <w:sz w:val="24"/>
          <w:szCs w:val="24"/>
        </w:rPr>
        <w:t xml:space="preserve"> », a </w:t>
      </w:r>
      <w:r w:rsidR="00182A70">
        <w:rPr>
          <w:rFonts w:ascii="Times New Roman" w:hAnsi="Times New Roman" w:cs="Times New Roman"/>
          <w:sz w:val="24"/>
          <w:szCs w:val="24"/>
        </w:rPr>
        <w:t xml:space="preserve">toutefois </w:t>
      </w:r>
      <w:r w:rsidR="00C725D4" w:rsidRPr="00C725D4">
        <w:rPr>
          <w:rFonts w:ascii="Times New Roman" w:hAnsi="Times New Roman" w:cs="Times New Roman"/>
          <w:sz w:val="24"/>
          <w:szCs w:val="24"/>
        </w:rPr>
        <w:t>fait l’objet d’une évaluation simplifiée des incidences Natura 2000</w:t>
      </w:r>
      <w:r w:rsidR="00C725D4">
        <w:rPr>
          <w:rFonts w:ascii="Times New Roman" w:hAnsi="Times New Roman" w:cs="Times New Roman"/>
          <w:sz w:val="24"/>
          <w:szCs w:val="24"/>
        </w:rPr>
        <w:t xml:space="preserve"> qui était jointe à la demande de permis de construire, sous la cote PC11.2</w:t>
      </w:r>
      <w:r w:rsidR="00C725D4" w:rsidRPr="00C725D4">
        <w:rPr>
          <w:rFonts w:ascii="Times New Roman" w:hAnsi="Times New Roman" w:cs="Times New Roman"/>
          <w:sz w:val="24"/>
          <w:szCs w:val="24"/>
        </w:rPr>
        <w:t>. Si l</w:t>
      </w:r>
      <w:r w:rsidR="00C725D4">
        <w:rPr>
          <w:rFonts w:ascii="Times New Roman" w:hAnsi="Times New Roman" w:cs="Times New Roman"/>
          <w:sz w:val="24"/>
          <w:szCs w:val="24"/>
        </w:rPr>
        <w:t>’association requérante soutient</w:t>
      </w:r>
      <w:r w:rsidR="00182A70">
        <w:rPr>
          <w:rFonts w:ascii="Times New Roman" w:hAnsi="Times New Roman" w:cs="Times New Roman"/>
          <w:sz w:val="24"/>
          <w:szCs w:val="24"/>
        </w:rPr>
        <w:t xml:space="preserve"> alors, dans les conditions mentionnées au point précédent,</w:t>
      </w:r>
      <w:r w:rsidR="00C725D4">
        <w:rPr>
          <w:rFonts w:ascii="Times New Roman" w:hAnsi="Times New Roman" w:cs="Times New Roman"/>
          <w:sz w:val="24"/>
          <w:szCs w:val="24"/>
        </w:rPr>
        <w:t xml:space="preserve"> que </w:t>
      </w:r>
      <w:r w:rsidR="00C725D4" w:rsidRPr="00C725D4">
        <w:rPr>
          <w:rFonts w:ascii="Times New Roman" w:hAnsi="Times New Roman" w:cs="Times New Roman"/>
          <w:sz w:val="24"/>
          <w:szCs w:val="24"/>
        </w:rPr>
        <w:t>l’étude d’impact dans son ensemble, intégrant ainsi l’évaluation simplifiée précitée,</w:t>
      </w:r>
      <w:r w:rsidR="00182A70">
        <w:rPr>
          <w:rFonts w:ascii="Times New Roman" w:hAnsi="Times New Roman" w:cs="Times New Roman"/>
          <w:sz w:val="24"/>
          <w:szCs w:val="24"/>
        </w:rPr>
        <w:t xml:space="preserve"> était erronée ou, à tout le moins, in</w:t>
      </w:r>
      <w:r w:rsidR="00C725D4" w:rsidRPr="00C725D4">
        <w:rPr>
          <w:rFonts w:ascii="Times New Roman" w:hAnsi="Times New Roman" w:cs="Times New Roman"/>
          <w:sz w:val="24"/>
          <w:szCs w:val="24"/>
        </w:rPr>
        <w:t xml:space="preserve">suffisante pour apprécier les incidences du projet litigieux sur les sites Natura 2000 </w:t>
      </w:r>
      <w:r w:rsidR="00182A70">
        <w:rPr>
          <w:rFonts w:ascii="Times New Roman" w:hAnsi="Times New Roman" w:cs="Times New Roman"/>
          <w:sz w:val="24"/>
          <w:szCs w:val="24"/>
        </w:rPr>
        <w:t>sus</w:t>
      </w:r>
      <w:r w:rsidR="00C725D4" w:rsidRPr="00C725D4">
        <w:rPr>
          <w:rFonts w:ascii="Times New Roman" w:hAnsi="Times New Roman" w:cs="Times New Roman"/>
          <w:sz w:val="24"/>
          <w:szCs w:val="24"/>
        </w:rPr>
        <w:t>mentionnés, une telle allégation n’est toutefois confirmée par aucune des pièces du dossier alors, qu’à l’inverse, l’avis de la mission régionale d’autorité environnementale Provence-Alpes-Côte d’Azur (ci-après,</w:t>
      </w:r>
      <w:r w:rsidR="00C37F0F">
        <w:rPr>
          <w:rFonts w:ascii="Times New Roman" w:hAnsi="Times New Roman" w:cs="Times New Roman"/>
          <w:sz w:val="24"/>
          <w:szCs w:val="24"/>
        </w:rPr>
        <w:t xml:space="preserve"> </w:t>
      </w:r>
      <w:r w:rsidR="00C725D4" w:rsidRPr="00C725D4">
        <w:rPr>
          <w:rFonts w:ascii="Times New Roman" w:hAnsi="Times New Roman" w:cs="Times New Roman"/>
          <w:sz w:val="24"/>
          <w:szCs w:val="24"/>
        </w:rPr>
        <w:t xml:space="preserve">« </w:t>
      </w:r>
      <w:proofErr w:type="spellStart"/>
      <w:r w:rsidR="00C725D4" w:rsidRPr="00C725D4">
        <w:rPr>
          <w:rFonts w:ascii="Times New Roman" w:hAnsi="Times New Roman" w:cs="Times New Roman"/>
          <w:sz w:val="24"/>
          <w:szCs w:val="24"/>
        </w:rPr>
        <w:t>MRAe</w:t>
      </w:r>
      <w:proofErr w:type="spellEnd"/>
      <w:r w:rsidR="00C725D4" w:rsidRPr="00C725D4">
        <w:rPr>
          <w:rFonts w:ascii="Times New Roman" w:hAnsi="Times New Roman" w:cs="Times New Roman"/>
          <w:sz w:val="24"/>
          <w:szCs w:val="24"/>
        </w:rPr>
        <w:t xml:space="preserve"> ») n°2022APPACA46/3256 sur lequel l</w:t>
      </w:r>
      <w:r w:rsidR="00182A70">
        <w:rPr>
          <w:rFonts w:ascii="Times New Roman" w:hAnsi="Times New Roman" w:cs="Times New Roman"/>
          <w:sz w:val="24"/>
          <w:szCs w:val="24"/>
        </w:rPr>
        <w:t xml:space="preserve">’association requérante </w:t>
      </w:r>
      <w:r w:rsidR="00C725D4" w:rsidRPr="00C725D4">
        <w:rPr>
          <w:rFonts w:ascii="Times New Roman" w:hAnsi="Times New Roman" w:cs="Times New Roman"/>
          <w:sz w:val="24"/>
          <w:szCs w:val="24"/>
        </w:rPr>
        <w:t xml:space="preserve">fonde </w:t>
      </w:r>
      <w:r w:rsidR="00182A70">
        <w:rPr>
          <w:rFonts w:ascii="Times New Roman" w:hAnsi="Times New Roman" w:cs="Times New Roman"/>
          <w:sz w:val="24"/>
          <w:szCs w:val="24"/>
        </w:rPr>
        <w:t xml:space="preserve">pourtant une majeure partie de son </w:t>
      </w:r>
      <w:r w:rsidR="00C725D4" w:rsidRPr="00C725D4">
        <w:rPr>
          <w:rFonts w:ascii="Times New Roman" w:hAnsi="Times New Roman" w:cs="Times New Roman"/>
          <w:sz w:val="24"/>
          <w:szCs w:val="24"/>
        </w:rPr>
        <w:t xml:space="preserve">argumentation relative au moyen tiré de l’insuffisance de l’étude d’impact, </w:t>
      </w:r>
      <w:r w:rsidR="00182A70">
        <w:rPr>
          <w:rFonts w:ascii="Times New Roman" w:hAnsi="Times New Roman" w:cs="Times New Roman"/>
          <w:sz w:val="24"/>
          <w:szCs w:val="24"/>
        </w:rPr>
        <w:t xml:space="preserve">n’a formulé aucune remarque à cet </w:t>
      </w:r>
      <w:r w:rsidR="00C725D4" w:rsidRPr="00C725D4">
        <w:rPr>
          <w:rFonts w:ascii="Times New Roman" w:hAnsi="Times New Roman" w:cs="Times New Roman"/>
          <w:sz w:val="24"/>
          <w:szCs w:val="24"/>
        </w:rPr>
        <w:t xml:space="preserve">égard </w:t>
      </w:r>
      <w:r w:rsidR="00182A70">
        <w:rPr>
          <w:rFonts w:ascii="Times New Roman" w:hAnsi="Times New Roman" w:cs="Times New Roman"/>
          <w:sz w:val="24"/>
          <w:szCs w:val="24"/>
        </w:rPr>
        <w:t xml:space="preserve">et </w:t>
      </w:r>
      <w:r w:rsidR="00C725D4" w:rsidRPr="00C725D4">
        <w:rPr>
          <w:rFonts w:ascii="Times New Roman" w:hAnsi="Times New Roman" w:cs="Times New Roman"/>
          <w:sz w:val="24"/>
          <w:szCs w:val="24"/>
        </w:rPr>
        <w:t xml:space="preserve">a même jugé </w:t>
      </w:r>
      <w:r w:rsidR="00182A70">
        <w:rPr>
          <w:rFonts w:ascii="Times New Roman" w:hAnsi="Times New Roman" w:cs="Times New Roman"/>
          <w:sz w:val="24"/>
          <w:szCs w:val="24"/>
        </w:rPr>
        <w:t>l’</w:t>
      </w:r>
      <w:r w:rsidR="00182A70" w:rsidRPr="00182A70">
        <w:rPr>
          <w:rFonts w:ascii="Times New Roman" w:hAnsi="Times New Roman" w:cs="Times New Roman"/>
          <w:sz w:val="24"/>
          <w:szCs w:val="24"/>
        </w:rPr>
        <w:t>évaluation simplifiée des incidences Natura 2000</w:t>
      </w:r>
      <w:r w:rsidR="00182A70">
        <w:rPr>
          <w:rFonts w:ascii="Times New Roman" w:hAnsi="Times New Roman" w:cs="Times New Roman"/>
          <w:sz w:val="24"/>
          <w:szCs w:val="24"/>
        </w:rPr>
        <w:t xml:space="preserve"> </w:t>
      </w:r>
      <w:r w:rsidR="00C725D4" w:rsidRPr="00C725D4">
        <w:rPr>
          <w:rFonts w:ascii="Times New Roman" w:hAnsi="Times New Roman" w:cs="Times New Roman"/>
          <w:sz w:val="24"/>
          <w:szCs w:val="24"/>
        </w:rPr>
        <w:t>satisfaisante. Dans ces conditions, cette branche du moyen tiré de l’insuffisance de l’étude d’impact doit être écartée.</w:t>
      </w:r>
    </w:p>
    <w:p w14:paraId="6A8BA69B" w14:textId="3B37A8A2" w:rsidR="00E156C9" w:rsidRDefault="00E156C9" w:rsidP="00182A70">
      <w:pPr>
        <w:spacing w:after="0" w:line="240" w:lineRule="auto"/>
        <w:ind w:firstLine="851"/>
        <w:jc w:val="both"/>
        <w:rPr>
          <w:rFonts w:ascii="Times New Roman" w:hAnsi="Times New Roman" w:cs="Times New Roman"/>
          <w:sz w:val="24"/>
          <w:szCs w:val="24"/>
        </w:rPr>
      </w:pPr>
    </w:p>
    <w:p w14:paraId="614D2265" w14:textId="5FDF6368" w:rsidR="00E156C9" w:rsidRDefault="00E156C9" w:rsidP="001747E1">
      <w:pPr>
        <w:spacing w:after="0" w:line="240" w:lineRule="auto"/>
        <w:jc w:val="both"/>
        <w:rPr>
          <w:rFonts w:ascii="Times New Roman" w:hAnsi="Times New Roman" w:cs="Times New Roman"/>
          <w:b/>
          <w:sz w:val="24"/>
          <w:szCs w:val="24"/>
          <w:u w:val="single"/>
        </w:rPr>
      </w:pPr>
      <w:r w:rsidRPr="00E47ABB">
        <w:rPr>
          <w:rFonts w:ascii="Times New Roman" w:hAnsi="Times New Roman" w:cs="Times New Roman"/>
          <w:b/>
          <w:sz w:val="24"/>
          <w:szCs w:val="24"/>
          <w:u w:val="single"/>
        </w:rPr>
        <w:t>En ce qui concerne</w:t>
      </w:r>
      <w:r w:rsidR="006910FC" w:rsidRPr="00E47ABB">
        <w:rPr>
          <w:rFonts w:ascii="Times New Roman" w:hAnsi="Times New Roman" w:cs="Times New Roman"/>
          <w:b/>
          <w:sz w:val="24"/>
          <w:szCs w:val="24"/>
          <w:u w:val="single"/>
        </w:rPr>
        <w:t xml:space="preserve"> les habitats naturels et la fonctionnalité </w:t>
      </w:r>
      <w:r w:rsidR="00E47ABB" w:rsidRPr="00E47ABB">
        <w:rPr>
          <w:rFonts w:ascii="Times New Roman" w:hAnsi="Times New Roman" w:cs="Times New Roman"/>
          <w:b/>
          <w:sz w:val="24"/>
          <w:szCs w:val="24"/>
          <w:u w:val="single"/>
        </w:rPr>
        <w:t>écologique</w:t>
      </w:r>
      <w:r w:rsidR="006910FC" w:rsidRPr="00E47ABB">
        <w:rPr>
          <w:rFonts w:ascii="Times New Roman" w:hAnsi="Times New Roman" w:cs="Times New Roman"/>
          <w:b/>
          <w:sz w:val="24"/>
          <w:szCs w:val="24"/>
          <w:u w:val="single"/>
        </w:rPr>
        <w:t xml:space="preserve"> du site</w:t>
      </w:r>
      <w:r w:rsidR="00DC5B7A" w:rsidRPr="00E47ABB">
        <w:rPr>
          <w:rFonts w:ascii="Times New Roman" w:hAnsi="Times New Roman" w:cs="Times New Roman"/>
          <w:b/>
          <w:sz w:val="24"/>
          <w:szCs w:val="24"/>
          <w:u w:val="single"/>
        </w:rPr>
        <w:t> :</w:t>
      </w:r>
    </w:p>
    <w:p w14:paraId="17F57443" w14:textId="47344D9D" w:rsidR="00E47ABB" w:rsidRDefault="00E47ABB" w:rsidP="00182A70">
      <w:pPr>
        <w:spacing w:after="0" w:line="240" w:lineRule="auto"/>
        <w:ind w:firstLine="851"/>
        <w:jc w:val="both"/>
        <w:rPr>
          <w:rFonts w:ascii="Times New Roman" w:hAnsi="Times New Roman" w:cs="Times New Roman"/>
          <w:b/>
          <w:sz w:val="24"/>
          <w:szCs w:val="24"/>
          <w:u w:val="single"/>
        </w:rPr>
      </w:pPr>
    </w:p>
    <w:p w14:paraId="6EB7FA78" w14:textId="450F7948" w:rsidR="00B224C6" w:rsidRPr="00B224C6" w:rsidRDefault="00E47ABB" w:rsidP="00B224C6">
      <w:pPr>
        <w:spacing w:after="0" w:line="240" w:lineRule="auto"/>
        <w:ind w:firstLine="851"/>
        <w:jc w:val="both"/>
        <w:rPr>
          <w:rFonts w:ascii="Times New Roman" w:hAnsi="Times New Roman" w:cs="Times New Roman"/>
          <w:i/>
          <w:sz w:val="24"/>
          <w:szCs w:val="24"/>
        </w:rPr>
      </w:pPr>
      <w:r w:rsidRPr="00E47ABB">
        <w:rPr>
          <w:rFonts w:ascii="Times New Roman" w:hAnsi="Times New Roman" w:cs="Times New Roman"/>
          <w:sz w:val="24"/>
          <w:szCs w:val="24"/>
        </w:rPr>
        <w:t>24.</w:t>
      </w:r>
      <w:r w:rsidR="003572E2">
        <w:rPr>
          <w:rFonts w:ascii="Times New Roman" w:hAnsi="Times New Roman" w:cs="Times New Roman"/>
          <w:sz w:val="24"/>
          <w:szCs w:val="24"/>
        </w:rPr>
        <w:t xml:space="preserve"> </w:t>
      </w:r>
      <w:r w:rsidR="00B224C6">
        <w:rPr>
          <w:rFonts w:ascii="Times New Roman" w:hAnsi="Times New Roman" w:cs="Times New Roman"/>
          <w:sz w:val="24"/>
          <w:szCs w:val="24"/>
        </w:rPr>
        <w:t xml:space="preserve">Aux termes </w:t>
      </w:r>
      <w:r w:rsidR="00B224C6" w:rsidRPr="00B224C6">
        <w:rPr>
          <w:rFonts w:ascii="Times New Roman" w:hAnsi="Times New Roman" w:cs="Times New Roman"/>
          <w:sz w:val="24"/>
          <w:szCs w:val="24"/>
        </w:rPr>
        <w:t xml:space="preserve">des dispositions du II de l’article R. 122-5 du code de l’environnement : « </w:t>
      </w:r>
      <w:r w:rsidR="00B224C6" w:rsidRPr="00B224C6">
        <w:rPr>
          <w:rFonts w:ascii="Times New Roman" w:hAnsi="Times New Roman" w:cs="Times New Roman"/>
          <w:i/>
          <w:sz w:val="24"/>
          <w:szCs w:val="24"/>
        </w:rPr>
        <w:t>En application du 2° du II de l'article L. 122-3, l'étude d'impact comporte les éléments suivants, en fonction des caractéristiques spécifiques du projet et du type d'incidences sur l'environnement qu'</w:t>
      </w:r>
      <w:r w:rsidR="00B224C6">
        <w:rPr>
          <w:rFonts w:ascii="Times New Roman" w:hAnsi="Times New Roman" w:cs="Times New Roman"/>
          <w:i/>
          <w:sz w:val="24"/>
          <w:szCs w:val="24"/>
        </w:rPr>
        <w:t xml:space="preserve">il est susceptible de produire : / </w:t>
      </w:r>
      <w:r w:rsidR="00B224C6" w:rsidRPr="00B224C6">
        <w:rPr>
          <w:rFonts w:ascii="Times New Roman" w:hAnsi="Times New Roman" w:cs="Times New Roman"/>
          <w:i/>
          <w:sz w:val="24"/>
          <w:szCs w:val="24"/>
        </w:rPr>
        <w:t>3° Une description des aspects pertinents de l'état initial de l'environnement, et de leur évolution en cas de mise en œuvre du projet ainsi qu'un aperçu de l'évolution probable de l'environnement en l'absence de mise en œuvre du projet, dans la mesure où les changements naturels par rapport à l'état initial de l'environnement peuvent être évalués moyennant un effort raisonnable sur la base des informations environnementales et des connaissances scientifiques disponibles ;</w:t>
      </w:r>
      <w:r w:rsidR="00B224C6">
        <w:rPr>
          <w:rFonts w:ascii="Times New Roman" w:hAnsi="Times New Roman" w:cs="Times New Roman"/>
          <w:i/>
          <w:sz w:val="24"/>
          <w:szCs w:val="24"/>
        </w:rPr>
        <w:t xml:space="preserve"> / (…) </w:t>
      </w:r>
      <w:r w:rsidR="00B224C6" w:rsidRPr="00B224C6">
        <w:rPr>
          <w:rFonts w:ascii="Times New Roman" w:hAnsi="Times New Roman" w:cs="Times New Roman"/>
          <w:i/>
          <w:sz w:val="24"/>
          <w:szCs w:val="24"/>
        </w:rPr>
        <w:t>5° Une description des incidences notables que le projet est susceptible d'avoir sur l'environ</w:t>
      </w:r>
      <w:r w:rsidR="00B224C6">
        <w:rPr>
          <w:rFonts w:ascii="Times New Roman" w:hAnsi="Times New Roman" w:cs="Times New Roman"/>
          <w:i/>
          <w:sz w:val="24"/>
          <w:szCs w:val="24"/>
        </w:rPr>
        <w:t xml:space="preserve">nement résultant, entre autres : / </w:t>
      </w:r>
      <w:r w:rsidR="00B224C6" w:rsidRPr="00B224C6">
        <w:rPr>
          <w:rFonts w:ascii="Times New Roman" w:hAnsi="Times New Roman" w:cs="Times New Roman"/>
          <w:i/>
          <w:sz w:val="24"/>
          <w:szCs w:val="24"/>
        </w:rPr>
        <w:t>a) De la construction et de l'existence du projet, y compris, le cas échéant, des travaux</w:t>
      </w:r>
      <w:r w:rsidR="00B224C6">
        <w:rPr>
          <w:rFonts w:ascii="Times New Roman" w:hAnsi="Times New Roman" w:cs="Times New Roman"/>
          <w:i/>
          <w:sz w:val="24"/>
          <w:szCs w:val="24"/>
        </w:rPr>
        <w:t xml:space="preserve"> de démolition ; / </w:t>
      </w:r>
      <w:r w:rsidR="00B224C6" w:rsidRPr="00B224C6">
        <w:rPr>
          <w:rFonts w:ascii="Times New Roman" w:hAnsi="Times New Roman" w:cs="Times New Roman"/>
          <w:i/>
          <w:sz w:val="24"/>
          <w:szCs w:val="24"/>
        </w:rPr>
        <w:t>b) De l'utilisation des ressources naturelles, en particulier les terres, le sol, l'eau et la biodiversité, en tenant compte, dans la mesure du possible, de la disponibilité durable de ces ressources ;</w:t>
      </w:r>
      <w:r w:rsidR="00B224C6">
        <w:rPr>
          <w:rFonts w:ascii="Times New Roman" w:hAnsi="Times New Roman" w:cs="Times New Roman"/>
          <w:i/>
          <w:sz w:val="24"/>
          <w:szCs w:val="24"/>
        </w:rPr>
        <w:t xml:space="preserve"> / </w:t>
      </w:r>
      <w:r w:rsidR="00B224C6" w:rsidRPr="00B224C6">
        <w:rPr>
          <w:rFonts w:ascii="Times New Roman" w:hAnsi="Times New Roman" w:cs="Times New Roman"/>
          <w:i/>
          <w:sz w:val="24"/>
          <w:szCs w:val="24"/>
        </w:rPr>
        <w:t xml:space="preserve">c) De l'émission de polluants, du bruit, </w:t>
      </w:r>
      <w:r w:rsidR="00B224C6" w:rsidRPr="00B224C6">
        <w:rPr>
          <w:rFonts w:ascii="Times New Roman" w:hAnsi="Times New Roman" w:cs="Times New Roman"/>
          <w:i/>
          <w:sz w:val="24"/>
          <w:szCs w:val="24"/>
        </w:rPr>
        <w:lastRenderedPageBreak/>
        <w:t xml:space="preserve">de la vibration, de la lumière, la chaleur et la radiation, de la création de nuisances et de l'élimination </w:t>
      </w:r>
      <w:r w:rsidR="00B224C6">
        <w:rPr>
          <w:rFonts w:ascii="Times New Roman" w:hAnsi="Times New Roman" w:cs="Times New Roman"/>
          <w:i/>
          <w:sz w:val="24"/>
          <w:szCs w:val="24"/>
        </w:rPr>
        <w:t xml:space="preserve">et la valorisation des déchets ; / </w:t>
      </w:r>
      <w:r w:rsidR="00B224C6" w:rsidRPr="00B224C6">
        <w:rPr>
          <w:rFonts w:ascii="Times New Roman" w:hAnsi="Times New Roman" w:cs="Times New Roman"/>
          <w:i/>
          <w:sz w:val="24"/>
          <w:szCs w:val="24"/>
        </w:rPr>
        <w:t>d) Des risques pour la santé humaine, pour le patrimoine culturel ou pour l'environnement ;</w:t>
      </w:r>
      <w:r w:rsidR="00B224C6">
        <w:rPr>
          <w:rFonts w:ascii="Times New Roman" w:hAnsi="Times New Roman" w:cs="Times New Roman"/>
          <w:i/>
          <w:sz w:val="24"/>
          <w:szCs w:val="24"/>
        </w:rPr>
        <w:t xml:space="preserve"> / </w:t>
      </w:r>
      <w:r w:rsidR="00B224C6" w:rsidRPr="00B224C6">
        <w:rPr>
          <w:rFonts w:ascii="Times New Roman" w:hAnsi="Times New Roman" w:cs="Times New Roman"/>
          <w:i/>
          <w:sz w:val="24"/>
          <w:szCs w:val="24"/>
        </w:rPr>
        <w:t>e) Du cumul des incidences avec d'autres projets existants ou approuvés, en tenant compte le cas échéant des problèmes environnementaux relatifs à l'utilisation des ressources naturelles et des zones revêtant une importance particulière pour l'environnement susceptibles d'être touchées.</w:t>
      </w:r>
      <w:r w:rsidR="00B224C6">
        <w:rPr>
          <w:rFonts w:ascii="Times New Roman" w:hAnsi="Times New Roman" w:cs="Times New Roman"/>
          <w:i/>
          <w:sz w:val="24"/>
          <w:szCs w:val="24"/>
        </w:rPr>
        <w:t xml:space="preserve"> / (…) ». </w:t>
      </w:r>
    </w:p>
    <w:p w14:paraId="2C8FA5A5" w14:textId="77777777" w:rsidR="00B224C6" w:rsidRDefault="00B224C6" w:rsidP="00E203B7">
      <w:pPr>
        <w:spacing w:after="0" w:line="240" w:lineRule="auto"/>
        <w:ind w:firstLine="851"/>
        <w:jc w:val="both"/>
        <w:rPr>
          <w:rFonts w:ascii="Times New Roman" w:hAnsi="Times New Roman" w:cs="Times New Roman"/>
          <w:sz w:val="24"/>
          <w:szCs w:val="24"/>
        </w:rPr>
      </w:pPr>
    </w:p>
    <w:p w14:paraId="1B60315B" w14:textId="739B0EEB" w:rsidR="00E203B7" w:rsidRDefault="00B224C6" w:rsidP="00E203B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25. </w:t>
      </w:r>
      <w:r w:rsidR="003572E2">
        <w:rPr>
          <w:rFonts w:ascii="Times New Roman" w:hAnsi="Times New Roman" w:cs="Times New Roman"/>
          <w:sz w:val="24"/>
          <w:szCs w:val="24"/>
        </w:rPr>
        <w:t xml:space="preserve">En </w:t>
      </w:r>
      <w:r w:rsidR="00E203B7">
        <w:rPr>
          <w:rFonts w:ascii="Times New Roman" w:hAnsi="Times New Roman" w:cs="Times New Roman"/>
          <w:sz w:val="24"/>
          <w:szCs w:val="24"/>
        </w:rPr>
        <w:t xml:space="preserve">premier lieu, </w:t>
      </w:r>
      <w:r w:rsidR="003572E2">
        <w:rPr>
          <w:rFonts w:ascii="Times New Roman" w:hAnsi="Times New Roman" w:cs="Times New Roman"/>
          <w:sz w:val="24"/>
          <w:szCs w:val="24"/>
        </w:rPr>
        <w:t xml:space="preserve">l’association requérante conteste l’analyse de l’étude d’impact aux termes de laquelle le secteur d’implantation du projet autorisé par le permis de construire </w:t>
      </w:r>
      <w:proofErr w:type="gramStart"/>
      <w:r w:rsidR="003572E2">
        <w:rPr>
          <w:rFonts w:ascii="Times New Roman" w:hAnsi="Times New Roman" w:cs="Times New Roman"/>
          <w:sz w:val="24"/>
          <w:szCs w:val="24"/>
        </w:rPr>
        <w:t>attaqué</w:t>
      </w:r>
      <w:proofErr w:type="gramEnd"/>
      <w:r w:rsidR="003572E2">
        <w:rPr>
          <w:rFonts w:ascii="Times New Roman" w:hAnsi="Times New Roman" w:cs="Times New Roman"/>
          <w:sz w:val="24"/>
          <w:szCs w:val="24"/>
        </w:rPr>
        <w:t xml:space="preserve"> se situe en dehors de tout périmètre étant identifié comme un « corridor écologique ». Toutefois, aucun des </w:t>
      </w:r>
      <w:r w:rsidR="00E203B7">
        <w:rPr>
          <w:rFonts w:ascii="Times New Roman" w:hAnsi="Times New Roman" w:cs="Times New Roman"/>
          <w:sz w:val="24"/>
          <w:szCs w:val="24"/>
        </w:rPr>
        <w:t>éléments que fait valoir l’</w:t>
      </w:r>
      <w:r w:rsidR="003572E2">
        <w:rPr>
          <w:rFonts w:ascii="Times New Roman" w:hAnsi="Times New Roman" w:cs="Times New Roman"/>
          <w:sz w:val="24"/>
          <w:szCs w:val="24"/>
        </w:rPr>
        <w:t xml:space="preserve">association </w:t>
      </w:r>
      <w:r w:rsidR="00E203B7">
        <w:rPr>
          <w:rFonts w:ascii="Times New Roman" w:hAnsi="Times New Roman" w:cs="Times New Roman"/>
          <w:sz w:val="24"/>
          <w:szCs w:val="24"/>
        </w:rPr>
        <w:t xml:space="preserve">requérante </w:t>
      </w:r>
      <w:r w:rsidR="003572E2">
        <w:rPr>
          <w:rFonts w:ascii="Times New Roman" w:hAnsi="Times New Roman" w:cs="Times New Roman"/>
          <w:sz w:val="24"/>
          <w:szCs w:val="24"/>
        </w:rPr>
        <w:t>ne saurait contredire une telle analyse alors qu’</w:t>
      </w:r>
      <w:r w:rsidR="00E203B7">
        <w:rPr>
          <w:rFonts w:ascii="Times New Roman" w:hAnsi="Times New Roman" w:cs="Times New Roman"/>
          <w:sz w:val="24"/>
          <w:szCs w:val="24"/>
        </w:rPr>
        <w:t>à l’inverse</w:t>
      </w:r>
      <w:r w:rsidR="003572E2">
        <w:rPr>
          <w:rFonts w:ascii="Times New Roman" w:hAnsi="Times New Roman" w:cs="Times New Roman"/>
          <w:sz w:val="24"/>
          <w:szCs w:val="24"/>
        </w:rPr>
        <w:t xml:space="preserve">, il ressort notamment du document graphique de </w:t>
      </w:r>
      <w:r w:rsidR="001747E1">
        <w:rPr>
          <w:rFonts w:ascii="Times New Roman" w:hAnsi="Times New Roman" w:cs="Times New Roman"/>
          <w:sz w:val="24"/>
          <w:szCs w:val="24"/>
        </w:rPr>
        <w:t xml:space="preserve">le </w:t>
      </w:r>
      <w:r w:rsidR="003572E2">
        <w:rPr>
          <w:rFonts w:ascii="Times New Roman" w:hAnsi="Times New Roman" w:cs="Times New Roman"/>
          <w:sz w:val="24"/>
          <w:szCs w:val="24"/>
        </w:rPr>
        <w:t xml:space="preserve">trame verte et bleue, dans sa version antérieure à la délibération </w:t>
      </w:r>
      <w:r w:rsidR="003572E2" w:rsidRPr="003572E2">
        <w:rPr>
          <w:rFonts w:ascii="Times New Roman" w:hAnsi="Times New Roman" w:cs="Times New Roman"/>
          <w:sz w:val="24"/>
          <w:szCs w:val="24"/>
        </w:rPr>
        <w:t>du 25 septembre 2023 par laquelle le conseil métropolitain de la métropole Nice Côte d’Azur a déclaré d’intérêt général le projet</w:t>
      </w:r>
      <w:r w:rsidR="003572E2">
        <w:rPr>
          <w:rFonts w:ascii="Times New Roman" w:hAnsi="Times New Roman" w:cs="Times New Roman"/>
          <w:sz w:val="24"/>
          <w:szCs w:val="24"/>
        </w:rPr>
        <w:t xml:space="preserve"> litigieux </w:t>
      </w:r>
      <w:r w:rsidR="003572E2" w:rsidRPr="003572E2">
        <w:rPr>
          <w:rFonts w:ascii="Times New Roman" w:hAnsi="Times New Roman" w:cs="Times New Roman"/>
          <w:sz w:val="24"/>
          <w:szCs w:val="24"/>
        </w:rPr>
        <w:t xml:space="preserve">et a approuvé cette déclaration emportant mise en compatibilité du </w:t>
      </w:r>
      <w:proofErr w:type="spellStart"/>
      <w:r w:rsidR="001747E1">
        <w:rPr>
          <w:rFonts w:ascii="Times New Roman" w:hAnsi="Times New Roman" w:cs="Times New Roman"/>
          <w:sz w:val="24"/>
          <w:szCs w:val="24"/>
        </w:rPr>
        <w:t>PLUm</w:t>
      </w:r>
      <w:proofErr w:type="spellEnd"/>
      <w:r w:rsidR="00E203B7">
        <w:rPr>
          <w:rFonts w:ascii="Times New Roman" w:hAnsi="Times New Roman" w:cs="Times New Roman"/>
          <w:sz w:val="24"/>
          <w:szCs w:val="24"/>
        </w:rPr>
        <w:t xml:space="preserve">, que ledit secteur qui y était répertorié comme « un réservoir de biodiversité » n’était traversé par aucun « corridor écologique » au sens de ladite trame. </w:t>
      </w:r>
    </w:p>
    <w:p w14:paraId="5C4D9A79" w14:textId="35EF366E" w:rsidR="00BA77F7" w:rsidRDefault="00BA77F7" w:rsidP="00E203B7">
      <w:pPr>
        <w:spacing w:after="0" w:line="240" w:lineRule="auto"/>
        <w:jc w:val="both"/>
        <w:rPr>
          <w:rFonts w:ascii="Times New Roman" w:hAnsi="Times New Roman" w:cs="Times New Roman"/>
          <w:sz w:val="24"/>
          <w:szCs w:val="24"/>
        </w:rPr>
      </w:pPr>
    </w:p>
    <w:p w14:paraId="7EDA35AE" w14:textId="0741334C" w:rsidR="00775E12" w:rsidRDefault="00B224C6" w:rsidP="00775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26</w:t>
      </w:r>
      <w:r w:rsidR="00BA77F7">
        <w:rPr>
          <w:rFonts w:ascii="Times New Roman" w:hAnsi="Times New Roman" w:cs="Times New Roman"/>
          <w:sz w:val="24"/>
          <w:szCs w:val="24"/>
        </w:rPr>
        <w:t xml:space="preserve">. </w:t>
      </w:r>
      <w:r w:rsidR="00E203B7">
        <w:rPr>
          <w:rFonts w:ascii="Times New Roman" w:hAnsi="Times New Roman" w:cs="Times New Roman"/>
          <w:sz w:val="24"/>
          <w:szCs w:val="24"/>
        </w:rPr>
        <w:t>En deuxième lieu,</w:t>
      </w:r>
      <w:r w:rsidR="00775E12">
        <w:rPr>
          <w:rFonts w:ascii="Times New Roman" w:hAnsi="Times New Roman" w:cs="Times New Roman"/>
          <w:sz w:val="24"/>
          <w:szCs w:val="24"/>
        </w:rPr>
        <w:t xml:space="preserve"> </w:t>
      </w:r>
      <w:r w:rsidR="00E436D7">
        <w:rPr>
          <w:rFonts w:ascii="Times New Roman" w:hAnsi="Times New Roman" w:cs="Times New Roman"/>
          <w:sz w:val="24"/>
          <w:szCs w:val="24"/>
        </w:rPr>
        <w:t xml:space="preserve">et </w:t>
      </w:r>
      <w:r w:rsidR="00775E12">
        <w:rPr>
          <w:rFonts w:ascii="Times New Roman" w:hAnsi="Times New Roman" w:cs="Times New Roman"/>
          <w:sz w:val="24"/>
          <w:szCs w:val="24"/>
        </w:rPr>
        <w:t>d’une part,</w:t>
      </w:r>
      <w:r w:rsidR="003F312E">
        <w:rPr>
          <w:rFonts w:ascii="Times New Roman" w:hAnsi="Times New Roman" w:cs="Times New Roman"/>
          <w:sz w:val="24"/>
          <w:szCs w:val="24"/>
        </w:rPr>
        <w:t xml:space="preserve"> il est constant, ainsi que cela a été dit au point précédent, que le secteur d’implantation du projet litigieux était identifié, avant la délibération précitée du 25 septembre 2023, comme « un réservoir de biodiversité » </w:t>
      </w:r>
      <w:r w:rsidR="00F2170F">
        <w:rPr>
          <w:rFonts w:ascii="Times New Roman" w:hAnsi="Times New Roman" w:cs="Times New Roman"/>
          <w:sz w:val="24"/>
          <w:szCs w:val="24"/>
        </w:rPr>
        <w:t xml:space="preserve">à enjeu </w:t>
      </w:r>
      <w:r w:rsidR="00F2170F" w:rsidRPr="00F2170F">
        <w:rPr>
          <w:rFonts w:ascii="Times New Roman" w:hAnsi="Times New Roman" w:cs="Times New Roman"/>
          <w:sz w:val="24"/>
          <w:szCs w:val="24"/>
        </w:rPr>
        <w:t>qualifié de très fort</w:t>
      </w:r>
      <w:r w:rsidR="00F2170F">
        <w:rPr>
          <w:rFonts w:ascii="Times New Roman" w:hAnsi="Times New Roman" w:cs="Times New Roman"/>
          <w:sz w:val="24"/>
          <w:szCs w:val="24"/>
        </w:rPr>
        <w:t xml:space="preserve"> </w:t>
      </w:r>
      <w:r w:rsidR="003F312E">
        <w:rPr>
          <w:rFonts w:ascii="Times New Roman" w:hAnsi="Times New Roman" w:cs="Times New Roman"/>
          <w:sz w:val="24"/>
          <w:szCs w:val="24"/>
        </w:rPr>
        <w:t>par la trame verte et bleue. En outre, aux termes de l’étude d’impact, ledit secteur est qualité de « </w:t>
      </w:r>
      <w:r w:rsidR="003F312E" w:rsidRPr="001747E1">
        <w:rPr>
          <w:rFonts w:ascii="Times New Roman" w:hAnsi="Times New Roman" w:cs="Times New Roman"/>
          <w:i/>
          <w:sz w:val="24"/>
          <w:szCs w:val="24"/>
        </w:rPr>
        <w:t>lieu de transit des espèces terrestres et volantes</w:t>
      </w:r>
      <w:r w:rsidR="003F312E">
        <w:rPr>
          <w:rFonts w:ascii="Times New Roman" w:hAnsi="Times New Roman" w:cs="Times New Roman"/>
          <w:sz w:val="24"/>
          <w:szCs w:val="24"/>
        </w:rPr>
        <w:t> » ainsi que de « </w:t>
      </w:r>
      <w:r w:rsidR="003F312E" w:rsidRPr="001747E1">
        <w:rPr>
          <w:rFonts w:ascii="Times New Roman" w:hAnsi="Times New Roman" w:cs="Times New Roman"/>
          <w:i/>
          <w:sz w:val="24"/>
          <w:szCs w:val="24"/>
        </w:rPr>
        <w:t>réservoir de milieux ouverts</w:t>
      </w:r>
      <w:r w:rsidR="00F2170F" w:rsidRPr="001747E1">
        <w:rPr>
          <w:rFonts w:ascii="Times New Roman" w:hAnsi="Times New Roman" w:cs="Times New Roman"/>
          <w:i/>
          <w:sz w:val="24"/>
          <w:szCs w:val="24"/>
        </w:rPr>
        <w:t xml:space="preserve"> ou semi-ouverts</w:t>
      </w:r>
      <w:r w:rsidR="00F2170F">
        <w:rPr>
          <w:rFonts w:ascii="Times New Roman" w:hAnsi="Times New Roman" w:cs="Times New Roman"/>
          <w:sz w:val="24"/>
          <w:szCs w:val="24"/>
        </w:rPr>
        <w:t xml:space="preserve"> ». </w:t>
      </w:r>
      <w:r w:rsidR="00C426A4">
        <w:rPr>
          <w:rFonts w:ascii="Times New Roman" w:hAnsi="Times New Roman" w:cs="Times New Roman"/>
          <w:sz w:val="24"/>
          <w:szCs w:val="24"/>
        </w:rPr>
        <w:t>Par suite</w:t>
      </w:r>
      <w:r w:rsidR="00F2170F">
        <w:rPr>
          <w:rFonts w:ascii="Times New Roman" w:hAnsi="Times New Roman" w:cs="Times New Roman"/>
          <w:sz w:val="24"/>
          <w:szCs w:val="24"/>
        </w:rPr>
        <w:t xml:space="preserve">, et ainsi que l’a relevé le </w:t>
      </w:r>
      <w:r w:rsidR="00F2170F" w:rsidRPr="00F2170F">
        <w:rPr>
          <w:rFonts w:ascii="Times New Roman" w:hAnsi="Times New Roman" w:cs="Times New Roman"/>
          <w:sz w:val="24"/>
          <w:szCs w:val="24"/>
        </w:rPr>
        <w:t>conseil national de la protection de la nature (ci-après, « CNPN »)</w:t>
      </w:r>
      <w:r w:rsidR="00F2170F">
        <w:rPr>
          <w:rFonts w:ascii="Times New Roman" w:hAnsi="Times New Roman" w:cs="Times New Roman"/>
          <w:sz w:val="24"/>
          <w:szCs w:val="24"/>
        </w:rPr>
        <w:t xml:space="preserve"> dans son avis défavorable du </w:t>
      </w:r>
      <w:r w:rsidR="00F2170F" w:rsidRPr="00F2170F">
        <w:rPr>
          <w:rFonts w:ascii="Times New Roman" w:hAnsi="Times New Roman" w:cs="Times New Roman"/>
          <w:sz w:val="24"/>
          <w:szCs w:val="24"/>
        </w:rPr>
        <w:t>24 août 2023</w:t>
      </w:r>
      <w:r w:rsidR="00F2170F">
        <w:rPr>
          <w:rFonts w:ascii="Times New Roman" w:hAnsi="Times New Roman" w:cs="Times New Roman"/>
          <w:sz w:val="24"/>
          <w:szCs w:val="24"/>
        </w:rPr>
        <w:t xml:space="preserve">, eu égard à </w:t>
      </w:r>
      <w:r w:rsidR="00775E12">
        <w:rPr>
          <w:rFonts w:ascii="Times New Roman" w:hAnsi="Times New Roman" w:cs="Times New Roman"/>
          <w:sz w:val="24"/>
          <w:szCs w:val="24"/>
        </w:rPr>
        <w:t xml:space="preserve">une telle </w:t>
      </w:r>
      <w:r w:rsidR="00F2170F">
        <w:rPr>
          <w:rFonts w:ascii="Times New Roman" w:hAnsi="Times New Roman" w:cs="Times New Roman"/>
          <w:sz w:val="24"/>
          <w:szCs w:val="24"/>
        </w:rPr>
        <w:t>desc</w:t>
      </w:r>
      <w:r w:rsidR="009259A0">
        <w:rPr>
          <w:rFonts w:ascii="Times New Roman" w:hAnsi="Times New Roman" w:cs="Times New Roman"/>
          <w:sz w:val="24"/>
          <w:szCs w:val="24"/>
        </w:rPr>
        <w:t>ription</w:t>
      </w:r>
      <w:r w:rsidR="00F2170F">
        <w:rPr>
          <w:rFonts w:ascii="Times New Roman" w:hAnsi="Times New Roman" w:cs="Times New Roman"/>
          <w:sz w:val="24"/>
          <w:szCs w:val="24"/>
        </w:rPr>
        <w:t xml:space="preserve"> et </w:t>
      </w:r>
      <w:r w:rsidR="001747E1">
        <w:rPr>
          <w:rFonts w:ascii="Times New Roman" w:hAnsi="Times New Roman" w:cs="Times New Roman"/>
          <w:sz w:val="24"/>
          <w:szCs w:val="24"/>
        </w:rPr>
        <w:t>identification</w:t>
      </w:r>
      <w:r w:rsidR="00F2170F">
        <w:rPr>
          <w:rFonts w:ascii="Times New Roman" w:hAnsi="Times New Roman" w:cs="Times New Roman"/>
          <w:sz w:val="24"/>
          <w:szCs w:val="24"/>
        </w:rPr>
        <w:t xml:space="preserve">, </w:t>
      </w:r>
      <w:r w:rsidR="00775E12">
        <w:rPr>
          <w:rFonts w:ascii="Times New Roman" w:hAnsi="Times New Roman" w:cs="Times New Roman"/>
          <w:sz w:val="24"/>
          <w:szCs w:val="24"/>
        </w:rPr>
        <w:t>l’association requérante est fondée à soutenir qu’</w:t>
      </w:r>
      <w:r w:rsidR="00F2170F">
        <w:rPr>
          <w:rFonts w:ascii="Times New Roman" w:hAnsi="Times New Roman" w:cs="Times New Roman"/>
          <w:sz w:val="24"/>
          <w:szCs w:val="24"/>
        </w:rPr>
        <w:t>en qualifiant de « modéré » les enjeux relatifs au projet litigieux sur la « </w:t>
      </w:r>
      <w:r w:rsidR="00F2170F" w:rsidRPr="001747E1">
        <w:rPr>
          <w:rFonts w:ascii="Times New Roman" w:hAnsi="Times New Roman" w:cs="Times New Roman"/>
          <w:i/>
          <w:sz w:val="24"/>
          <w:szCs w:val="24"/>
        </w:rPr>
        <w:t>fonctio</w:t>
      </w:r>
      <w:r w:rsidR="00775E12" w:rsidRPr="001747E1">
        <w:rPr>
          <w:rFonts w:ascii="Times New Roman" w:hAnsi="Times New Roman" w:cs="Times New Roman"/>
          <w:i/>
          <w:sz w:val="24"/>
          <w:szCs w:val="24"/>
        </w:rPr>
        <w:t>nnalité du réseau écologique</w:t>
      </w:r>
      <w:r w:rsidR="00775E12">
        <w:rPr>
          <w:rFonts w:ascii="Times New Roman" w:hAnsi="Times New Roman" w:cs="Times New Roman"/>
          <w:sz w:val="24"/>
          <w:szCs w:val="24"/>
        </w:rPr>
        <w:t xml:space="preserve"> », </w:t>
      </w:r>
      <w:r w:rsidR="009259A0">
        <w:rPr>
          <w:rFonts w:ascii="Times New Roman" w:hAnsi="Times New Roman" w:cs="Times New Roman"/>
          <w:sz w:val="24"/>
          <w:szCs w:val="24"/>
        </w:rPr>
        <w:t xml:space="preserve">l’étude d’impact </w:t>
      </w:r>
      <w:r w:rsidR="001747E1">
        <w:rPr>
          <w:rFonts w:ascii="Times New Roman" w:hAnsi="Times New Roman" w:cs="Times New Roman"/>
          <w:sz w:val="24"/>
          <w:szCs w:val="24"/>
        </w:rPr>
        <w:t xml:space="preserve">a manifestement sous-évalué de tels </w:t>
      </w:r>
      <w:r w:rsidR="009259A0">
        <w:rPr>
          <w:rFonts w:ascii="Times New Roman" w:hAnsi="Times New Roman" w:cs="Times New Roman"/>
          <w:sz w:val="24"/>
          <w:szCs w:val="24"/>
        </w:rPr>
        <w:t xml:space="preserve">enjeux. </w:t>
      </w:r>
    </w:p>
    <w:p w14:paraId="1E0B0F7D" w14:textId="77777777" w:rsidR="00775E12" w:rsidRDefault="00775E12" w:rsidP="00775E12">
      <w:pPr>
        <w:spacing w:after="0" w:line="240" w:lineRule="auto"/>
        <w:ind w:firstLine="851"/>
        <w:jc w:val="both"/>
        <w:rPr>
          <w:rFonts w:ascii="Times New Roman" w:hAnsi="Times New Roman" w:cs="Times New Roman"/>
          <w:sz w:val="24"/>
          <w:szCs w:val="24"/>
        </w:rPr>
      </w:pPr>
    </w:p>
    <w:p w14:paraId="4A9C1665" w14:textId="2E002677" w:rsidR="00775E12" w:rsidRDefault="00775E12" w:rsidP="00775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27. D’autre part, </w:t>
      </w:r>
      <w:r w:rsidR="009259A0">
        <w:rPr>
          <w:rFonts w:ascii="Times New Roman" w:hAnsi="Times New Roman" w:cs="Times New Roman"/>
          <w:sz w:val="24"/>
          <w:szCs w:val="24"/>
        </w:rPr>
        <w:t xml:space="preserve">compte tenu </w:t>
      </w:r>
      <w:r>
        <w:rPr>
          <w:rFonts w:ascii="Times New Roman" w:hAnsi="Times New Roman" w:cs="Times New Roman"/>
          <w:sz w:val="24"/>
          <w:szCs w:val="24"/>
        </w:rPr>
        <w:t>de la</w:t>
      </w:r>
      <w:r w:rsidR="00BD0028">
        <w:rPr>
          <w:rFonts w:ascii="Times New Roman" w:hAnsi="Times New Roman" w:cs="Times New Roman"/>
          <w:sz w:val="24"/>
          <w:szCs w:val="24"/>
        </w:rPr>
        <w:t xml:space="preserve"> sous-évaluation des enjeux</w:t>
      </w:r>
      <w:r w:rsidR="00866B2A">
        <w:rPr>
          <w:rFonts w:ascii="Times New Roman" w:hAnsi="Times New Roman" w:cs="Times New Roman"/>
          <w:sz w:val="24"/>
          <w:szCs w:val="24"/>
        </w:rPr>
        <w:t xml:space="preserve"> décrite au point précédent, de </w:t>
      </w:r>
      <w:r>
        <w:rPr>
          <w:rFonts w:ascii="Times New Roman" w:hAnsi="Times New Roman" w:cs="Times New Roman"/>
          <w:sz w:val="24"/>
          <w:szCs w:val="24"/>
        </w:rPr>
        <w:t xml:space="preserve">la précédente </w:t>
      </w:r>
      <w:r w:rsidR="0098534A">
        <w:rPr>
          <w:rFonts w:ascii="Times New Roman" w:hAnsi="Times New Roman" w:cs="Times New Roman"/>
          <w:sz w:val="24"/>
          <w:szCs w:val="24"/>
        </w:rPr>
        <w:t xml:space="preserve">identification du secteur </w:t>
      </w:r>
      <w:r>
        <w:rPr>
          <w:rFonts w:ascii="Times New Roman" w:hAnsi="Times New Roman" w:cs="Times New Roman"/>
          <w:sz w:val="24"/>
          <w:szCs w:val="24"/>
        </w:rPr>
        <w:t xml:space="preserve">d’implantation </w:t>
      </w:r>
      <w:r w:rsidR="00BD0028">
        <w:rPr>
          <w:rFonts w:ascii="Times New Roman" w:hAnsi="Times New Roman" w:cs="Times New Roman"/>
          <w:sz w:val="24"/>
          <w:szCs w:val="24"/>
        </w:rPr>
        <w:t xml:space="preserve">par la trame verte et bleue comme « réservoir de biodiversité » </w:t>
      </w:r>
      <w:r w:rsidR="0098534A">
        <w:rPr>
          <w:rFonts w:ascii="Times New Roman" w:hAnsi="Times New Roman" w:cs="Times New Roman"/>
          <w:sz w:val="24"/>
          <w:szCs w:val="24"/>
        </w:rPr>
        <w:t xml:space="preserve">et eu égard au fait, comme ne manque pas de </w:t>
      </w:r>
      <w:r w:rsidR="00BD0028">
        <w:rPr>
          <w:rFonts w:ascii="Times New Roman" w:hAnsi="Times New Roman" w:cs="Times New Roman"/>
          <w:sz w:val="24"/>
          <w:szCs w:val="24"/>
        </w:rPr>
        <w:t xml:space="preserve">le </w:t>
      </w:r>
      <w:r w:rsidR="0098534A">
        <w:rPr>
          <w:rFonts w:ascii="Times New Roman" w:hAnsi="Times New Roman" w:cs="Times New Roman"/>
          <w:sz w:val="24"/>
          <w:szCs w:val="24"/>
        </w:rPr>
        <w:t xml:space="preserve">relever l’avis précité du CNPN, que l’étude d’impact </w:t>
      </w:r>
      <w:r w:rsidR="00BD0028">
        <w:rPr>
          <w:rFonts w:ascii="Times New Roman" w:hAnsi="Times New Roman" w:cs="Times New Roman"/>
          <w:sz w:val="24"/>
          <w:szCs w:val="24"/>
        </w:rPr>
        <w:t>identifi</w:t>
      </w:r>
      <w:r w:rsidR="0098534A">
        <w:rPr>
          <w:rFonts w:ascii="Times New Roman" w:hAnsi="Times New Roman" w:cs="Times New Roman"/>
          <w:sz w:val="24"/>
          <w:szCs w:val="24"/>
        </w:rPr>
        <w:t xml:space="preserve">e, elle-même, </w:t>
      </w:r>
      <w:r w:rsidR="00C37F0F">
        <w:rPr>
          <w:rFonts w:ascii="Times New Roman" w:hAnsi="Times New Roman" w:cs="Times New Roman"/>
          <w:sz w:val="24"/>
          <w:szCs w:val="24"/>
        </w:rPr>
        <w:t>des impacts bruts « fort</w:t>
      </w:r>
      <w:r w:rsidR="00BD0028">
        <w:rPr>
          <w:rFonts w:ascii="Times New Roman" w:hAnsi="Times New Roman" w:cs="Times New Roman"/>
          <w:sz w:val="24"/>
          <w:szCs w:val="24"/>
        </w:rPr>
        <w:t> » du projet sur la flore, l’entomofaune et l’avifaune,</w:t>
      </w:r>
      <w:r>
        <w:rPr>
          <w:rFonts w:ascii="Times New Roman" w:hAnsi="Times New Roman" w:cs="Times New Roman"/>
          <w:sz w:val="24"/>
          <w:szCs w:val="24"/>
        </w:rPr>
        <w:t xml:space="preserve"> ladite étude doit alors également être regardée comme ayant sous-évalué </w:t>
      </w:r>
      <w:r w:rsidRPr="00775E12">
        <w:rPr>
          <w:rFonts w:ascii="Times New Roman" w:hAnsi="Times New Roman" w:cs="Times New Roman"/>
          <w:sz w:val="24"/>
          <w:szCs w:val="24"/>
        </w:rPr>
        <w:t>les impacts « bruts » et</w:t>
      </w:r>
      <w:r w:rsidR="00206E72">
        <w:rPr>
          <w:rFonts w:ascii="Times New Roman" w:hAnsi="Times New Roman" w:cs="Times New Roman"/>
          <w:sz w:val="24"/>
          <w:szCs w:val="24"/>
        </w:rPr>
        <w:t xml:space="preserve">, par suite « résiduels », </w:t>
      </w:r>
      <w:r w:rsidRPr="00775E12">
        <w:rPr>
          <w:rFonts w:ascii="Times New Roman" w:hAnsi="Times New Roman" w:cs="Times New Roman"/>
          <w:sz w:val="24"/>
          <w:szCs w:val="24"/>
        </w:rPr>
        <w:t>du projet autorisé par le permis de construire attaqué sur la fonctionnalité écologique</w:t>
      </w:r>
      <w:r w:rsidR="00C37F0F">
        <w:rPr>
          <w:rFonts w:ascii="Times New Roman" w:hAnsi="Times New Roman" w:cs="Times New Roman"/>
          <w:sz w:val="24"/>
          <w:szCs w:val="24"/>
        </w:rPr>
        <w:t xml:space="preserve"> du secteur</w:t>
      </w:r>
      <w:r>
        <w:rPr>
          <w:rFonts w:ascii="Times New Roman" w:hAnsi="Times New Roman" w:cs="Times New Roman"/>
          <w:sz w:val="24"/>
          <w:szCs w:val="24"/>
        </w:rPr>
        <w:t xml:space="preserve"> </w:t>
      </w:r>
      <w:r w:rsidR="00BD0028">
        <w:rPr>
          <w:rFonts w:ascii="Times New Roman" w:hAnsi="Times New Roman" w:cs="Times New Roman"/>
          <w:sz w:val="24"/>
          <w:szCs w:val="24"/>
        </w:rPr>
        <w:t>en qualifiant de « faible »</w:t>
      </w:r>
      <w:r w:rsidR="00C426A4">
        <w:rPr>
          <w:rFonts w:ascii="Times New Roman" w:hAnsi="Times New Roman" w:cs="Times New Roman"/>
          <w:sz w:val="24"/>
          <w:szCs w:val="24"/>
        </w:rPr>
        <w:t xml:space="preserve"> les risques d’altération et d</w:t>
      </w:r>
      <w:r w:rsidR="00C426A4" w:rsidRPr="00C426A4">
        <w:rPr>
          <w:rFonts w:ascii="Times New Roman" w:hAnsi="Times New Roman" w:cs="Times New Roman"/>
          <w:sz w:val="24"/>
          <w:szCs w:val="24"/>
        </w:rPr>
        <w:t>’anthropisation des habitats du réservoir de biodiversité</w:t>
      </w:r>
      <w:r w:rsidR="00C426A4">
        <w:rPr>
          <w:rFonts w:ascii="Times New Roman" w:hAnsi="Times New Roman" w:cs="Times New Roman"/>
          <w:sz w:val="24"/>
          <w:szCs w:val="24"/>
        </w:rPr>
        <w:t xml:space="preserve"> et de « très faible » les incidences dudit projet sur « </w:t>
      </w:r>
      <w:r w:rsidR="00C426A4" w:rsidRPr="001747E1">
        <w:rPr>
          <w:rFonts w:ascii="Times New Roman" w:hAnsi="Times New Roman" w:cs="Times New Roman"/>
          <w:i/>
          <w:sz w:val="24"/>
          <w:szCs w:val="24"/>
        </w:rPr>
        <w:t>la fonctionnalité du</w:t>
      </w:r>
      <w:r w:rsidRPr="001747E1">
        <w:rPr>
          <w:rFonts w:ascii="Times New Roman" w:hAnsi="Times New Roman" w:cs="Times New Roman"/>
          <w:i/>
          <w:sz w:val="24"/>
          <w:szCs w:val="24"/>
        </w:rPr>
        <w:t xml:space="preserve"> réseau écologique</w:t>
      </w:r>
      <w:r>
        <w:rPr>
          <w:rFonts w:ascii="Times New Roman" w:hAnsi="Times New Roman" w:cs="Times New Roman"/>
          <w:sz w:val="24"/>
          <w:szCs w:val="24"/>
        </w:rPr>
        <w:t> » (</w:t>
      </w:r>
      <w:r w:rsidRPr="001747E1">
        <w:rPr>
          <w:rFonts w:ascii="Times New Roman" w:hAnsi="Times New Roman" w:cs="Times New Roman"/>
          <w:i/>
          <w:sz w:val="24"/>
          <w:szCs w:val="24"/>
        </w:rPr>
        <w:t>page 272</w:t>
      </w:r>
      <w:r>
        <w:rPr>
          <w:rFonts w:ascii="Times New Roman" w:hAnsi="Times New Roman" w:cs="Times New Roman"/>
          <w:sz w:val="24"/>
          <w:szCs w:val="24"/>
        </w:rPr>
        <w:t>)</w:t>
      </w:r>
      <w:r w:rsidR="00C426A4">
        <w:rPr>
          <w:rFonts w:ascii="Times New Roman" w:hAnsi="Times New Roman" w:cs="Times New Roman"/>
          <w:sz w:val="24"/>
          <w:szCs w:val="24"/>
        </w:rPr>
        <w:t xml:space="preserve">. </w:t>
      </w:r>
    </w:p>
    <w:p w14:paraId="090D5C50" w14:textId="77777777" w:rsidR="00775E12" w:rsidRDefault="00775E12" w:rsidP="00775E12">
      <w:pPr>
        <w:spacing w:after="0" w:line="240" w:lineRule="auto"/>
        <w:ind w:firstLine="851"/>
        <w:jc w:val="both"/>
        <w:rPr>
          <w:rFonts w:ascii="Times New Roman" w:hAnsi="Times New Roman" w:cs="Times New Roman"/>
          <w:sz w:val="24"/>
          <w:szCs w:val="24"/>
        </w:rPr>
      </w:pPr>
    </w:p>
    <w:p w14:paraId="0BD2D6CC" w14:textId="766A9043" w:rsidR="00DC5B7A" w:rsidRDefault="00775E12" w:rsidP="00775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28. Dans ces conditions, </w:t>
      </w:r>
      <w:r w:rsidR="00C426A4">
        <w:rPr>
          <w:rFonts w:ascii="Times New Roman" w:hAnsi="Times New Roman" w:cs="Times New Roman"/>
          <w:sz w:val="24"/>
          <w:szCs w:val="24"/>
        </w:rPr>
        <w:t xml:space="preserve">alors même que les allégations de l’association requérante selon laquelle l’étude d’impact n’a pas, ou à </w:t>
      </w:r>
      <w:r w:rsidR="00B224C6">
        <w:rPr>
          <w:rFonts w:ascii="Times New Roman" w:hAnsi="Times New Roman" w:cs="Times New Roman"/>
          <w:sz w:val="24"/>
          <w:szCs w:val="24"/>
        </w:rPr>
        <w:t xml:space="preserve">tout le moins, pas suffisamment, </w:t>
      </w:r>
      <w:r w:rsidR="00C426A4">
        <w:rPr>
          <w:rFonts w:ascii="Times New Roman" w:hAnsi="Times New Roman" w:cs="Times New Roman"/>
          <w:sz w:val="24"/>
          <w:szCs w:val="24"/>
        </w:rPr>
        <w:t>décrit les incidences des</w:t>
      </w:r>
      <w:r w:rsidR="00B224C6">
        <w:rPr>
          <w:rFonts w:ascii="Times New Roman" w:hAnsi="Times New Roman" w:cs="Times New Roman"/>
          <w:sz w:val="24"/>
          <w:szCs w:val="24"/>
        </w:rPr>
        <w:t xml:space="preserve"> opérations de défrichement, des</w:t>
      </w:r>
      <w:r w:rsidR="00C426A4">
        <w:rPr>
          <w:rFonts w:ascii="Times New Roman" w:hAnsi="Times New Roman" w:cs="Times New Roman"/>
          <w:sz w:val="24"/>
          <w:szCs w:val="24"/>
        </w:rPr>
        <w:t xml:space="preserve"> travaux, de la pollution atmosphérique, de l’installation d’un linéaire de </w:t>
      </w:r>
      <w:r w:rsidR="00B224C6">
        <w:rPr>
          <w:rFonts w:ascii="Times New Roman" w:hAnsi="Times New Roman" w:cs="Times New Roman"/>
          <w:sz w:val="24"/>
          <w:szCs w:val="24"/>
        </w:rPr>
        <w:t>clôture et du risque incendie sont soit inopérante</w:t>
      </w:r>
      <w:r w:rsidR="001747E1">
        <w:rPr>
          <w:rFonts w:ascii="Times New Roman" w:hAnsi="Times New Roman" w:cs="Times New Roman"/>
          <w:sz w:val="24"/>
          <w:szCs w:val="24"/>
        </w:rPr>
        <w:t>s</w:t>
      </w:r>
      <w:r>
        <w:rPr>
          <w:rFonts w:ascii="Times New Roman" w:hAnsi="Times New Roman" w:cs="Times New Roman"/>
          <w:sz w:val="24"/>
          <w:szCs w:val="24"/>
        </w:rPr>
        <w:t>,</w:t>
      </w:r>
      <w:r w:rsidR="00B224C6">
        <w:rPr>
          <w:rFonts w:ascii="Times New Roman" w:hAnsi="Times New Roman" w:cs="Times New Roman"/>
          <w:sz w:val="24"/>
          <w:szCs w:val="24"/>
        </w:rPr>
        <w:t xml:space="preserve"> s’agissant des opérations de défrichement, soit infondées pour les autres,</w:t>
      </w:r>
      <w:r>
        <w:rPr>
          <w:rFonts w:ascii="Times New Roman" w:hAnsi="Times New Roman" w:cs="Times New Roman"/>
          <w:sz w:val="24"/>
          <w:szCs w:val="24"/>
        </w:rPr>
        <w:t xml:space="preserve"> ladite association</w:t>
      </w:r>
      <w:r w:rsidR="00B224C6">
        <w:rPr>
          <w:rFonts w:ascii="Times New Roman" w:hAnsi="Times New Roman" w:cs="Times New Roman"/>
          <w:sz w:val="24"/>
          <w:szCs w:val="24"/>
        </w:rPr>
        <w:t xml:space="preserve"> n’en demeure pas moins fondée à soutenir, au regard de ce qu’il vient d’être dit, que l’étude d’impact litigeuse </w:t>
      </w:r>
      <w:r w:rsidR="00BD0028">
        <w:rPr>
          <w:rFonts w:ascii="Times New Roman" w:hAnsi="Times New Roman" w:cs="Times New Roman"/>
          <w:sz w:val="24"/>
          <w:szCs w:val="24"/>
        </w:rPr>
        <w:t>a insuffisamm</w:t>
      </w:r>
      <w:r w:rsidR="00B224C6">
        <w:rPr>
          <w:rFonts w:ascii="Times New Roman" w:hAnsi="Times New Roman" w:cs="Times New Roman"/>
          <w:sz w:val="24"/>
          <w:szCs w:val="24"/>
        </w:rPr>
        <w:t>ent décrit, en méconnaissance des dispositions précitées des 3° et</w:t>
      </w:r>
      <w:r w:rsidR="00BD0028">
        <w:rPr>
          <w:rFonts w:ascii="Times New Roman" w:hAnsi="Times New Roman" w:cs="Times New Roman"/>
          <w:sz w:val="24"/>
          <w:szCs w:val="24"/>
        </w:rPr>
        <w:t xml:space="preserve"> 5° de l’article </w:t>
      </w:r>
      <w:r w:rsidR="00BD0028" w:rsidRPr="00BD0028">
        <w:rPr>
          <w:rFonts w:ascii="Times New Roman" w:hAnsi="Times New Roman" w:cs="Times New Roman"/>
          <w:sz w:val="24"/>
          <w:szCs w:val="24"/>
        </w:rPr>
        <w:t>R. 122-5 du code de l’environnement</w:t>
      </w:r>
      <w:r w:rsidR="00BD0028">
        <w:rPr>
          <w:rFonts w:ascii="Times New Roman" w:hAnsi="Times New Roman" w:cs="Times New Roman"/>
          <w:sz w:val="24"/>
          <w:szCs w:val="24"/>
        </w:rPr>
        <w:t xml:space="preserve">, </w:t>
      </w:r>
      <w:r w:rsidR="00B224C6">
        <w:rPr>
          <w:rFonts w:ascii="Times New Roman" w:hAnsi="Times New Roman" w:cs="Times New Roman"/>
          <w:sz w:val="24"/>
          <w:szCs w:val="24"/>
        </w:rPr>
        <w:t xml:space="preserve">tant la réalité de la fonctionnalité écologique du secteur d’implantation du projet litigieux que </w:t>
      </w:r>
      <w:r w:rsidR="00BD0028">
        <w:rPr>
          <w:rFonts w:ascii="Times New Roman" w:hAnsi="Times New Roman" w:cs="Times New Roman"/>
          <w:sz w:val="24"/>
          <w:szCs w:val="24"/>
        </w:rPr>
        <w:t>les incidences « b</w:t>
      </w:r>
      <w:r w:rsidR="00B224C6">
        <w:rPr>
          <w:rFonts w:ascii="Times New Roman" w:hAnsi="Times New Roman" w:cs="Times New Roman"/>
          <w:sz w:val="24"/>
          <w:szCs w:val="24"/>
        </w:rPr>
        <w:t>rutes » et</w:t>
      </w:r>
      <w:r w:rsidR="00C37F0F">
        <w:rPr>
          <w:rFonts w:ascii="Times New Roman" w:hAnsi="Times New Roman" w:cs="Times New Roman"/>
          <w:sz w:val="24"/>
          <w:szCs w:val="24"/>
        </w:rPr>
        <w:t>, par suite,</w:t>
      </w:r>
      <w:r w:rsidR="00B224C6">
        <w:rPr>
          <w:rFonts w:ascii="Times New Roman" w:hAnsi="Times New Roman" w:cs="Times New Roman"/>
          <w:sz w:val="24"/>
          <w:szCs w:val="24"/>
        </w:rPr>
        <w:t xml:space="preserve"> « résiduelles » que c</w:t>
      </w:r>
      <w:r w:rsidR="00BD0028">
        <w:rPr>
          <w:rFonts w:ascii="Times New Roman" w:hAnsi="Times New Roman" w:cs="Times New Roman"/>
          <w:sz w:val="24"/>
          <w:szCs w:val="24"/>
        </w:rPr>
        <w:t xml:space="preserve">e projet est susceptible d’avoir sur </w:t>
      </w:r>
      <w:r w:rsidR="00B224C6">
        <w:rPr>
          <w:rFonts w:ascii="Times New Roman" w:hAnsi="Times New Roman" w:cs="Times New Roman"/>
          <w:sz w:val="24"/>
          <w:szCs w:val="24"/>
        </w:rPr>
        <w:t>cette</w:t>
      </w:r>
      <w:r w:rsidR="00BD0028">
        <w:rPr>
          <w:rFonts w:ascii="Times New Roman" w:hAnsi="Times New Roman" w:cs="Times New Roman"/>
          <w:sz w:val="24"/>
          <w:szCs w:val="24"/>
        </w:rPr>
        <w:t xml:space="preserve"> fonctionnalité écologique.</w:t>
      </w:r>
      <w:r w:rsidR="00433514">
        <w:rPr>
          <w:rFonts w:ascii="Times New Roman" w:hAnsi="Times New Roman" w:cs="Times New Roman"/>
          <w:sz w:val="24"/>
          <w:szCs w:val="24"/>
        </w:rPr>
        <w:t xml:space="preserve"> </w:t>
      </w:r>
      <w:r w:rsidRPr="00775E12">
        <w:rPr>
          <w:rFonts w:ascii="Times New Roman" w:hAnsi="Times New Roman" w:cs="Times New Roman"/>
          <w:sz w:val="24"/>
          <w:szCs w:val="24"/>
        </w:rPr>
        <w:t xml:space="preserve">Par suite et dès lors qu’une </w:t>
      </w:r>
      <w:r w:rsidRPr="00775E12">
        <w:rPr>
          <w:rFonts w:ascii="Times New Roman" w:hAnsi="Times New Roman" w:cs="Times New Roman"/>
          <w:sz w:val="24"/>
          <w:szCs w:val="24"/>
        </w:rPr>
        <w:lastRenderedPageBreak/>
        <w:t xml:space="preserve">telle insuffisance a eu pour effet de nuire à l’information complète du public, </w:t>
      </w:r>
      <w:r>
        <w:rPr>
          <w:rFonts w:ascii="Times New Roman" w:hAnsi="Times New Roman" w:cs="Times New Roman"/>
          <w:sz w:val="24"/>
          <w:szCs w:val="24"/>
        </w:rPr>
        <w:t>la LPO PACA</w:t>
      </w:r>
      <w:r w:rsidRPr="00775E12">
        <w:rPr>
          <w:rFonts w:ascii="Times New Roman" w:hAnsi="Times New Roman" w:cs="Times New Roman"/>
          <w:sz w:val="24"/>
          <w:szCs w:val="24"/>
        </w:rPr>
        <w:t xml:space="preserve"> </w:t>
      </w:r>
      <w:r>
        <w:rPr>
          <w:rFonts w:ascii="Times New Roman" w:hAnsi="Times New Roman" w:cs="Times New Roman"/>
          <w:sz w:val="24"/>
          <w:szCs w:val="24"/>
        </w:rPr>
        <w:t>est fondée</w:t>
      </w:r>
      <w:r w:rsidRPr="00775E12">
        <w:rPr>
          <w:rFonts w:ascii="Times New Roman" w:hAnsi="Times New Roman" w:cs="Times New Roman"/>
          <w:sz w:val="24"/>
          <w:szCs w:val="24"/>
        </w:rPr>
        <w:t xml:space="preserve"> à soutenir que l’arrêté attaqué est entaché d’un vice de procédure de na</w:t>
      </w:r>
      <w:r>
        <w:rPr>
          <w:rFonts w:ascii="Times New Roman" w:hAnsi="Times New Roman" w:cs="Times New Roman"/>
          <w:sz w:val="24"/>
          <w:szCs w:val="24"/>
        </w:rPr>
        <w:t xml:space="preserve">ture à entraîner son illégalité. </w:t>
      </w:r>
    </w:p>
    <w:p w14:paraId="4494BFD3" w14:textId="77777777" w:rsidR="001747E1" w:rsidRDefault="001747E1" w:rsidP="001747E1">
      <w:pPr>
        <w:spacing w:after="0" w:line="240" w:lineRule="auto"/>
        <w:jc w:val="both"/>
        <w:rPr>
          <w:rFonts w:ascii="Times New Roman" w:hAnsi="Times New Roman" w:cs="Times New Roman"/>
          <w:sz w:val="24"/>
          <w:szCs w:val="24"/>
        </w:rPr>
      </w:pPr>
    </w:p>
    <w:p w14:paraId="70062CCA" w14:textId="51EE7895" w:rsidR="00DC5B7A" w:rsidRPr="00220D89" w:rsidRDefault="00DC5B7A" w:rsidP="001747E1">
      <w:pPr>
        <w:spacing w:after="0" w:line="240" w:lineRule="auto"/>
        <w:jc w:val="both"/>
        <w:rPr>
          <w:rFonts w:ascii="Times New Roman" w:hAnsi="Times New Roman" w:cs="Times New Roman"/>
          <w:b/>
          <w:sz w:val="24"/>
          <w:szCs w:val="24"/>
          <w:u w:val="single"/>
        </w:rPr>
      </w:pPr>
      <w:r w:rsidRPr="00220D89">
        <w:rPr>
          <w:rFonts w:ascii="Times New Roman" w:hAnsi="Times New Roman" w:cs="Times New Roman"/>
          <w:b/>
          <w:sz w:val="24"/>
          <w:szCs w:val="24"/>
          <w:u w:val="single"/>
        </w:rPr>
        <w:t>En ce qui concerne la flore :</w:t>
      </w:r>
    </w:p>
    <w:p w14:paraId="23E88B56" w14:textId="256EE989" w:rsidR="00DC5B7A" w:rsidRDefault="00DC5B7A" w:rsidP="00182A70">
      <w:pPr>
        <w:spacing w:after="0" w:line="240" w:lineRule="auto"/>
        <w:ind w:firstLine="851"/>
        <w:jc w:val="both"/>
        <w:rPr>
          <w:rFonts w:ascii="Times New Roman" w:hAnsi="Times New Roman" w:cs="Times New Roman"/>
          <w:sz w:val="24"/>
          <w:szCs w:val="24"/>
        </w:rPr>
      </w:pPr>
    </w:p>
    <w:p w14:paraId="50498526" w14:textId="0BBCD581" w:rsidR="00C17959" w:rsidRDefault="00775E12" w:rsidP="00220D8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29</w:t>
      </w:r>
      <w:r w:rsidR="00DC5B7A">
        <w:rPr>
          <w:rFonts w:ascii="Times New Roman" w:hAnsi="Times New Roman" w:cs="Times New Roman"/>
          <w:sz w:val="24"/>
          <w:szCs w:val="24"/>
        </w:rPr>
        <w:t>. D’une part, il est constant que</w:t>
      </w:r>
      <w:r w:rsidR="002D0E5D">
        <w:rPr>
          <w:rFonts w:ascii="Times New Roman" w:hAnsi="Times New Roman" w:cs="Times New Roman"/>
          <w:sz w:val="24"/>
          <w:szCs w:val="24"/>
        </w:rPr>
        <w:t xml:space="preserve"> le chapitre 4 de l’étude d’impact litigieuse relatif à « </w:t>
      </w:r>
      <w:r w:rsidR="002D0E5D" w:rsidRPr="001747E1">
        <w:rPr>
          <w:rFonts w:ascii="Times New Roman" w:hAnsi="Times New Roman" w:cs="Times New Roman"/>
          <w:i/>
          <w:sz w:val="24"/>
          <w:szCs w:val="24"/>
        </w:rPr>
        <w:t>l’état initial de l’environnement</w:t>
      </w:r>
      <w:r w:rsidR="002D0E5D">
        <w:rPr>
          <w:rFonts w:ascii="Times New Roman" w:hAnsi="Times New Roman" w:cs="Times New Roman"/>
          <w:sz w:val="24"/>
          <w:szCs w:val="24"/>
        </w:rPr>
        <w:t xml:space="preserve"> » comprend une partie </w:t>
      </w:r>
      <w:r w:rsidR="00220D89">
        <w:rPr>
          <w:rFonts w:ascii="Times New Roman" w:hAnsi="Times New Roman" w:cs="Times New Roman"/>
          <w:sz w:val="24"/>
          <w:szCs w:val="24"/>
        </w:rPr>
        <w:t>relative</w:t>
      </w:r>
      <w:r w:rsidR="002D0E5D">
        <w:rPr>
          <w:rFonts w:ascii="Times New Roman" w:hAnsi="Times New Roman" w:cs="Times New Roman"/>
          <w:sz w:val="24"/>
          <w:szCs w:val="24"/>
        </w:rPr>
        <w:t xml:space="preserve"> à la description</w:t>
      </w:r>
      <w:r w:rsidR="00C17959">
        <w:rPr>
          <w:rFonts w:ascii="Times New Roman" w:hAnsi="Times New Roman" w:cs="Times New Roman"/>
          <w:sz w:val="24"/>
          <w:szCs w:val="24"/>
        </w:rPr>
        <w:t xml:space="preserve"> </w:t>
      </w:r>
      <w:r w:rsidR="002D0E5D">
        <w:rPr>
          <w:rFonts w:ascii="Times New Roman" w:hAnsi="Times New Roman" w:cs="Times New Roman"/>
          <w:sz w:val="24"/>
          <w:szCs w:val="24"/>
        </w:rPr>
        <w:t xml:space="preserve"> de l’environnement naturel du projet dont un de ses items (</w:t>
      </w:r>
      <w:r w:rsidR="002D0E5D" w:rsidRPr="001747E1">
        <w:rPr>
          <w:rFonts w:ascii="Times New Roman" w:hAnsi="Times New Roman" w:cs="Times New Roman"/>
          <w:i/>
          <w:sz w:val="24"/>
          <w:szCs w:val="24"/>
        </w:rPr>
        <w:t>point 4.4.7</w:t>
      </w:r>
      <w:r w:rsidR="002D0E5D">
        <w:rPr>
          <w:rFonts w:ascii="Times New Roman" w:hAnsi="Times New Roman" w:cs="Times New Roman"/>
          <w:sz w:val="24"/>
          <w:szCs w:val="24"/>
        </w:rPr>
        <w:t xml:space="preserve">) est consacré à la description « </w:t>
      </w:r>
      <w:r w:rsidR="002D0E5D" w:rsidRPr="001747E1">
        <w:rPr>
          <w:rFonts w:ascii="Times New Roman" w:hAnsi="Times New Roman" w:cs="Times New Roman"/>
          <w:i/>
          <w:sz w:val="24"/>
          <w:szCs w:val="24"/>
        </w:rPr>
        <w:t>de la flore</w:t>
      </w:r>
      <w:r w:rsidR="002D0E5D">
        <w:rPr>
          <w:rFonts w:ascii="Times New Roman" w:hAnsi="Times New Roman" w:cs="Times New Roman"/>
          <w:sz w:val="24"/>
          <w:szCs w:val="24"/>
        </w:rPr>
        <w:t> » et « </w:t>
      </w:r>
      <w:r w:rsidR="002D0E5D" w:rsidRPr="001747E1">
        <w:rPr>
          <w:rFonts w:ascii="Times New Roman" w:hAnsi="Times New Roman" w:cs="Times New Roman"/>
          <w:i/>
          <w:sz w:val="24"/>
          <w:szCs w:val="24"/>
        </w:rPr>
        <w:t>des habitats naturels</w:t>
      </w:r>
      <w:r w:rsidR="002D0E5D">
        <w:rPr>
          <w:rFonts w:ascii="Times New Roman" w:hAnsi="Times New Roman" w:cs="Times New Roman"/>
          <w:sz w:val="24"/>
          <w:szCs w:val="24"/>
        </w:rPr>
        <w:t> » comprenant notamment un « </w:t>
      </w:r>
      <w:r w:rsidR="002D0E5D" w:rsidRPr="001747E1">
        <w:rPr>
          <w:rFonts w:ascii="Times New Roman" w:hAnsi="Times New Roman" w:cs="Times New Roman"/>
          <w:i/>
          <w:sz w:val="24"/>
          <w:szCs w:val="24"/>
        </w:rPr>
        <w:t>inventaire floristique</w:t>
      </w:r>
      <w:r w:rsidR="002D0E5D">
        <w:rPr>
          <w:rFonts w:ascii="Times New Roman" w:hAnsi="Times New Roman" w:cs="Times New Roman"/>
          <w:sz w:val="24"/>
          <w:szCs w:val="24"/>
        </w:rPr>
        <w:t> » (</w:t>
      </w:r>
      <w:r w:rsidR="002D0E5D" w:rsidRPr="001747E1">
        <w:rPr>
          <w:rFonts w:ascii="Times New Roman" w:hAnsi="Times New Roman" w:cs="Times New Roman"/>
          <w:i/>
          <w:sz w:val="24"/>
          <w:szCs w:val="24"/>
        </w:rPr>
        <w:t>page 135</w:t>
      </w:r>
      <w:r w:rsidR="002D0E5D">
        <w:rPr>
          <w:rFonts w:ascii="Times New Roman" w:hAnsi="Times New Roman" w:cs="Times New Roman"/>
          <w:sz w:val="24"/>
          <w:szCs w:val="24"/>
        </w:rPr>
        <w:t>) lequel y a répertorié les cent-quarante-trois espèces végétales</w:t>
      </w:r>
      <w:r w:rsidR="00220D89">
        <w:rPr>
          <w:rFonts w:ascii="Times New Roman" w:hAnsi="Times New Roman" w:cs="Times New Roman"/>
          <w:sz w:val="24"/>
          <w:szCs w:val="24"/>
        </w:rPr>
        <w:t xml:space="preserve"> observées sur le site du projet litigieux</w:t>
      </w:r>
      <w:r w:rsidR="002D0E5D">
        <w:rPr>
          <w:rFonts w:ascii="Times New Roman" w:hAnsi="Times New Roman" w:cs="Times New Roman"/>
          <w:sz w:val="24"/>
          <w:szCs w:val="24"/>
        </w:rPr>
        <w:t xml:space="preserve"> et n’a relevé au regard des bases des données de l’inventaire national du patrimoine naturel (</w:t>
      </w:r>
      <w:r w:rsidR="00A037E8">
        <w:rPr>
          <w:rFonts w:ascii="Times New Roman" w:hAnsi="Times New Roman" w:cs="Times New Roman"/>
          <w:sz w:val="24"/>
          <w:szCs w:val="24"/>
        </w:rPr>
        <w:t>ci-après, « </w:t>
      </w:r>
      <w:r w:rsidR="002D0E5D">
        <w:rPr>
          <w:rFonts w:ascii="Times New Roman" w:hAnsi="Times New Roman" w:cs="Times New Roman"/>
          <w:sz w:val="24"/>
          <w:szCs w:val="24"/>
        </w:rPr>
        <w:t>INPN</w:t>
      </w:r>
      <w:r w:rsidR="00A037E8">
        <w:rPr>
          <w:rFonts w:ascii="Times New Roman" w:hAnsi="Times New Roman" w:cs="Times New Roman"/>
          <w:sz w:val="24"/>
          <w:szCs w:val="24"/>
        </w:rPr>
        <w:t> »</w:t>
      </w:r>
      <w:r w:rsidR="002D0E5D">
        <w:rPr>
          <w:rFonts w:ascii="Times New Roman" w:hAnsi="Times New Roman" w:cs="Times New Roman"/>
          <w:sz w:val="24"/>
          <w:szCs w:val="24"/>
        </w:rPr>
        <w:t>), du système d’information et de localisation des espèces natives et envahissantes (</w:t>
      </w:r>
      <w:r w:rsidR="001747E1">
        <w:rPr>
          <w:rFonts w:ascii="Times New Roman" w:hAnsi="Times New Roman" w:cs="Times New Roman"/>
          <w:sz w:val="24"/>
          <w:szCs w:val="24"/>
        </w:rPr>
        <w:t>ci-après, « </w:t>
      </w:r>
      <w:r w:rsidR="002D0E5D">
        <w:rPr>
          <w:rFonts w:ascii="Times New Roman" w:hAnsi="Times New Roman" w:cs="Times New Roman"/>
          <w:sz w:val="24"/>
          <w:szCs w:val="24"/>
        </w:rPr>
        <w:t>SILENE</w:t>
      </w:r>
      <w:r w:rsidR="001747E1">
        <w:rPr>
          <w:rFonts w:ascii="Times New Roman" w:hAnsi="Times New Roman" w:cs="Times New Roman"/>
          <w:sz w:val="24"/>
          <w:szCs w:val="24"/>
        </w:rPr>
        <w:t> »</w:t>
      </w:r>
      <w:r w:rsidR="002D0E5D">
        <w:rPr>
          <w:rFonts w:ascii="Times New Roman" w:hAnsi="Times New Roman" w:cs="Times New Roman"/>
          <w:sz w:val="24"/>
          <w:szCs w:val="24"/>
        </w:rPr>
        <w:t>)</w:t>
      </w:r>
      <w:r w:rsidR="00C10827">
        <w:rPr>
          <w:rFonts w:ascii="Times New Roman" w:hAnsi="Times New Roman" w:cs="Times New Roman"/>
          <w:sz w:val="24"/>
          <w:szCs w:val="24"/>
        </w:rPr>
        <w:t xml:space="preserve"> et en partenariat avec les</w:t>
      </w:r>
      <w:r w:rsidR="002D0E5D">
        <w:rPr>
          <w:rFonts w:ascii="Times New Roman" w:hAnsi="Times New Roman" w:cs="Times New Roman"/>
          <w:sz w:val="24"/>
          <w:szCs w:val="24"/>
        </w:rPr>
        <w:t xml:space="preserve"> conservatoire</w:t>
      </w:r>
      <w:r w:rsidR="00C10827">
        <w:rPr>
          <w:rFonts w:ascii="Times New Roman" w:hAnsi="Times New Roman" w:cs="Times New Roman"/>
          <w:sz w:val="24"/>
          <w:szCs w:val="24"/>
        </w:rPr>
        <w:t>s</w:t>
      </w:r>
      <w:r w:rsidR="002D0E5D">
        <w:rPr>
          <w:rFonts w:ascii="Times New Roman" w:hAnsi="Times New Roman" w:cs="Times New Roman"/>
          <w:sz w:val="24"/>
          <w:szCs w:val="24"/>
        </w:rPr>
        <w:t xml:space="preserve"> botanique</w:t>
      </w:r>
      <w:r w:rsidR="00C10827">
        <w:rPr>
          <w:rFonts w:ascii="Times New Roman" w:hAnsi="Times New Roman" w:cs="Times New Roman"/>
          <w:sz w:val="24"/>
          <w:szCs w:val="24"/>
        </w:rPr>
        <w:t xml:space="preserve">s nationaux alpin et méditerranéen, </w:t>
      </w:r>
      <w:r w:rsidR="002D0E5D">
        <w:rPr>
          <w:rFonts w:ascii="Times New Roman" w:hAnsi="Times New Roman" w:cs="Times New Roman"/>
          <w:sz w:val="24"/>
          <w:szCs w:val="24"/>
        </w:rPr>
        <w:t>la présence d’aucune espace v</w:t>
      </w:r>
      <w:r w:rsidR="00C10827">
        <w:rPr>
          <w:rFonts w:ascii="Times New Roman" w:hAnsi="Times New Roman" w:cs="Times New Roman"/>
          <w:sz w:val="24"/>
          <w:szCs w:val="24"/>
        </w:rPr>
        <w:t>égétale protégée, menacée ou rar</w:t>
      </w:r>
      <w:r w:rsidR="002D0E5D">
        <w:rPr>
          <w:rFonts w:ascii="Times New Roman" w:hAnsi="Times New Roman" w:cs="Times New Roman"/>
          <w:sz w:val="24"/>
          <w:szCs w:val="24"/>
        </w:rPr>
        <w:t xml:space="preserve">e au sein du secteur d’étude. </w:t>
      </w:r>
      <w:r w:rsidR="00C17959">
        <w:rPr>
          <w:rFonts w:ascii="Times New Roman" w:hAnsi="Times New Roman" w:cs="Times New Roman"/>
          <w:sz w:val="24"/>
          <w:szCs w:val="24"/>
        </w:rPr>
        <w:t>D’autre part,</w:t>
      </w:r>
      <w:r w:rsidR="00220D89">
        <w:rPr>
          <w:rFonts w:ascii="Times New Roman" w:hAnsi="Times New Roman" w:cs="Times New Roman"/>
          <w:sz w:val="24"/>
          <w:szCs w:val="24"/>
        </w:rPr>
        <w:t xml:space="preserve"> le chapitre 6 de cette même étude d’impact consacre une partie relative à l’évaluation des impacts du projet sur la flore et les habitats naturels au regard des constats réalisés dans la partie précédemment mentionnée. Il ne ressort d’aucune des pièces du dossier que cette évaluation aurait, comme le prétend l’association requérante, </w:t>
      </w:r>
      <w:r w:rsidR="001747E1">
        <w:rPr>
          <w:rFonts w:ascii="Times New Roman" w:hAnsi="Times New Roman" w:cs="Times New Roman"/>
          <w:sz w:val="24"/>
          <w:szCs w:val="24"/>
        </w:rPr>
        <w:t xml:space="preserve">était </w:t>
      </w:r>
      <w:r w:rsidR="00220D89">
        <w:rPr>
          <w:rFonts w:ascii="Times New Roman" w:hAnsi="Times New Roman" w:cs="Times New Roman"/>
          <w:sz w:val="24"/>
          <w:szCs w:val="24"/>
        </w:rPr>
        <w:t xml:space="preserve">insuffisante. </w:t>
      </w:r>
      <w:r w:rsidR="00C10827">
        <w:rPr>
          <w:rFonts w:ascii="Times New Roman" w:hAnsi="Times New Roman" w:cs="Times New Roman"/>
          <w:sz w:val="24"/>
          <w:szCs w:val="24"/>
        </w:rPr>
        <w:t>En outre, si, une espèce floristique</w:t>
      </w:r>
      <w:r w:rsidR="00A037E8">
        <w:rPr>
          <w:rFonts w:ascii="Times New Roman" w:hAnsi="Times New Roman" w:cs="Times New Roman"/>
          <w:sz w:val="24"/>
          <w:szCs w:val="24"/>
        </w:rPr>
        <w:t xml:space="preserve"> </w:t>
      </w:r>
      <w:r w:rsidR="00A037E8" w:rsidRPr="00A037E8">
        <w:rPr>
          <w:rFonts w:ascii="Times New Roman" w:hAnsi="Times New Roman" w:cs="Times New Roman"/>
          <w:sz w:val="24"/>
          <w:szCs w:val="24"/>
        </w:rPr>
        <w:t>à</w:t>
      </w:r>
      <w:r w:rsidR="00A037E8">
        <w:rPr>
          <w:rFonts w:ascii="Times New Roman" w:hAnsi="Times New Roman" w:cs="Times New Roman"/>
          <w:sz w:val="24"/>
          <w:szCs w:val="24"/>
        </w:rPr>
        <w:t xml:space="preserve"> savoir « </w:t>
      </w:r>
      <w:r w:rsidR="00A037E8" w:rsidRPr="001747E1">
        <w:rPr>
          <w:rFonts w:ascii="Times New Roman" w:hAnsi="Times New Roman" w:cs="Times New Roman"/>
          <w:i/>
          <w:sz w:val="24"/>
          <w:szCs w:val="24"/>
        </w:rPr>
        <w:t>l’euphorbe épineuse</w:t>
      </w:r>
      <w:r w:rsidR="00A037E8">
        <w:rPr>
          <w:rFonts w:ascii="Times New Roman" w:hAnsi="Times New Roman" w:cs="Times New Roman"/>
          <w:sz w:val="24"/>
          <w:szCs w:val="24"/>
        </w:rPr>
        <w:t xml:space="preserve"> » particulièrement rare au niveau national a été observée </w:t>
      </w:r>
      <w:r w:rsidR="00C10827">
        <w:rPr>
          <w:rFonts w:ascii="Times New Roman" w:hAnsi="Times New Roman" w:cs="Times New Roman"/>
          <w:sz w:val="24"/>
          <w:szCs w:val="24"/>
        </w:rPr>
        <w:t>sur le secteur litigieux</w:t>
      </w:r>
      <w:r w:rsidR="001747E1">
        <w:rPr>
          <w:rFonts w:ascii="Times New Roman" w:hAnsi="Times New Roman" w:cs="Times New Roman"/>
          <w:sz w:val="24"/>
          <w:szCs w:val="24"/>
        </w:rPr>
        <w:t>,</w:t>
      </w:r>
      <w:r w:rsidR="00C10827">
        <w:rPr>
          <w:rFonts w:ascii="Times New Roman" w:hAnsi="Times New Roman" w:cs="Times New Roman"/>
          <w:sz w:val="24"/>
          <w:szCs w:val="24"/>
        </w:rPr>
        <w:t xml:space="preserve"> </w:t>
      </w:r>
      <w:r w:rsidR="00A037E8">
        <w:rPr>
          <w:rFonts w:ascii="Times New Roman" w:hAnsi="Times New Roman" w:cs="Times New Roman"/>
          <w:sz w:val="24"/>
          <w:szCs w:val="24"/>
        </w:rPr>
        <w:t>une telle espèce est toutefois qualifiée de « </w:t>
      </w:r>
      <w:r w:rsidR="00A037E8" w:rsidRPr="001747E1">
        <w:rPr>
          <w:rFonts w:ascii="Times New Roman" w:hAnsi="Times New Roman" w:cs="Times New Roman"/>
          <w:i/>
          <w:sz w:val="24"/>
          <w:szCs w:val="24"/>
        </w:rPr>
        <w:t>répandue</w:t>
      </w:r>
      <w:r w:rsidR="00A037E8">
        <w:rPr>
          <w:rFonts w:ascii="Times New Roman" w:hAnsi="Times New Roman" w:cs="Times New Roman"/>
          <w:sz w:val="24"/>
          <w:szCs w:val="24"/>
        </w:rPr>
        <w:t xml:space="preserve"> » dans la région Provence-Alpes-Côte d’Azur alors que, contrairement à ce qu’indique l’association requérante, ladite espèce n’est pas </w:t>
      </w:r>
      <w:r w:rsidR="00220D89">
        <w:rPr>
          <w:rFonts w:ascii="Times New Roman" w:hAnsi="Times New Roman" w:cs="Times New Roman"/>
          <w:sz w:val="24"/>
          <w:szCs w:val="24"/>
        </w:rPr>
        <w:t>répertoriée comme étant « </w:t>
      </w:r>
      <w:r w:rsidR="00A037E8" w:rsidRPr="001747E1">
        <w:rPr>
          <w:rFonts w:ascii="Times New Roman" w:hAnsi="Times New Roman" w:cs="Times New Roman"/>
          <w:i/>
          <w:sz w:val="24"/>
          <w:szCs w:val="24"/>
        </w:rPr>
        <w:t>protégée</w:t>
      </w:r>
      <w:r w:rsidR="00A037E8">
        <w:rPr>
          <w:rFonts w:ascii="Times New Roman" w:hAnsi="Times New Roman" w:cs="Times New Roman"/>
          <w:sz w:val="24"/>
          <w:szCs w:val="24"/>
        </w:rPr>
        <w:t xml:space="preserve"> » par l’INPN. Enfin, la seule circonstance </w:t>
      </w:r>
      <w:r w:rsidR="00C17959">
        <w:rPr>
          <w:rFonts w:ascii="Times New Roman" w:hAnsi="Times New Roman" w:cs="Times New Roman"/>
          <w:sz w:val="24"/>
          <w:szCs w:val="24"/>
        </w:rPr>
        <w:t xml:space="preserve">que </w:t>
      </w:r>
      <w:r w:rsidR="001747E1">
        <w:rPr>
          <w:rFonts w:ascii="Times New Roman" w:hAnsi="Times New Roman" w:cs="Times New Roman"/>
          <w:sz w:val="24"/>
          <w:szCs w:val="24"/>
        </w:rPr>
        <w:t xml:space="preserve">le CNPN </w:t>
      </w:r>
      <w:r w:rsidR="00A037E8">
        <w:rPr>
          <w:rFonts w:ascii="Times New Roman" w:hAnsi="Times New Roman" w:cs="Times New Roman"/>
          <w:sz w:val="24"/>
          <w:szCs w:val="24"/>
        </w:rPr>
        <w:t>évoque dans son avis du 23 août 2023</w:t>
      </w:r>
      <w:r w:rsidR="00C17959">
        <w:rPr>
          <w:rFonts w:ascii="Times New Roman" w:hAnsi="Times New Roman" w:cs="Times New Roman"/>
          <w:sz w:val="24"/>
          <w:szCs w:val="24"/>
        </w:rPr>
        <w:t>, qui a</w:t>
      </w:r>
      <w:r w:rsidR="001747E1">
        <w:rPr>
          <w:rFonts w:ascii="Times New Roman" w:hAnsi="Times New Roman" w:cs="Times New Roman"/>
          <w:sz w:val="24"/>
          <w:szCs w:val="24"/>
        </w:rPr>
        <w:t xml:space="preserve">, au </w:t>
      </w:r>
      <w:r w:rsidR="00C17959">
        <w:rPr>
          <w:rFonts w:ascii="Times New Roman" w:hAnsi="Times New Roman" w:cs="Times New Roman"/>
          <w:sz w:val="24"/>
          <w:szCs w:val="24"/>
        </w:rPr>
        <w:t>demeurant</w:t>
      </w:r>
      <w:r w:rsidR="001747E1">
        <w:rPr>
          <w:rFonts w:ascii="Times New Roman" w:hAnsi="Times New Roman" w:cs="Times New Roman"/>
          <w:sz w:val="24"/>
          <w:szCs w:val="24"/>
        </w:rPr>
        <w:t>,</w:t>
      </w:r>
      <w:r w:rsidR="00C17959">
        <w:rPr>
          <w:rFonts w:ascii="Times New Roman" w:hAnsi="Times New Roman" w:cs="Times New Roman"/>
          <w:sz w:val="24"/>
          <w:szCs w:val="24"/>
        </w:rPr>
        <w:t xml:space="preserve"> jugé l’inventaire floristique comme étant « </w:t>
      </w:r>
      <w:r w:rsidR="00C17959" w:rsidRPr="001747E1">
        <w:rPr>
          <w:rFonts w:ascii="Times New Roman" w:hAnsi="Times New Roman" w:cs="Times New Roman"/>
          <w:i/>
          <w:sz w:val="24"/>
          <w:szCs w:val="24"/>
        </w:rPr>
        <w:t>correctement réalisé</w:t>
      </w:r>
      <w:r w:rsidR="001747E1">
        <w:rPr>
          <w:rFonts w:ascii="Times New Roman" w:hAnsi="Times New Roman" w:cs="Times New Roman"/>
          <w:sz w:val="24"/>
          <w:szCs w:val="24"/>
        </w:rPr>
        <w:t xml:space="preserve"> », </w:t>
      </w:r>
      <w:r w:rsidR="00C17959">
        <w:rPr>
          <w:rFonts w:ascii="Times New Roman" w:hAnsi="Times New Roman" w:cs="Times New Roman"/>
          <w:sz w:val="24"/>
          <w:szCs w:val="24"/>
        </w:rPr>
        <w:t>la présence d’un individu « </w:t>
      </w:r>
      <w:r w:rsidR="00C17959" w:rsidRPr="001747E1">
        <w:rPr>
          <w:rFonts w:ascii="Times New Roman" w:hAnsi="Times New Roman" w:cs="Times New Roman"/>
          <w:i/>
          <w:sz w:val="24"/>
          <w:szCs w:val="24"/>
        </w:rPr>
        <w:t xml:space="preserve">d’ophrys </w:t>
      </w:r>
      <w:proofErr w:type="spellStart"/>
      <w:r w:rsidR="00C17959" w:rsidRPr="001747E1">
        <w:rPr>
          <w:rFonts w:ascii="Times New Roman" w:hAnsi="Times New Roman" w:cs="Times New Roman"/>
          <w:i/>
          <w:sz w:val="24"/>
          <w:szCs w:val="24"/>
        </w:rPr>
        <w:t>bertolonii</w:t>
      </w:r>
      <w:proofErr w:type="spellEnd"/>
      <w:r w:rsidR="00C17959">
        <w:rPr>
          <w:rFonts w:ascii="Times New Roman" w:hAnsi="Times New Roman" w:cs="Times New Roman"/>
          <w:sz w:val="24"/>
          <w:szCs w:val="24"/>
        </w:rPr>
        <w:t> », espèce protégée mais dont le risque de disparation est ju</w:t>
      </w:r>
      <w:r w:rsidR="007400DF">
        <w:rPr>
          <w:rFonts w:ascii="Times New Roman" w:hAnsi="Times New Roman" w:cs="Times New Roman"/>
          <w:sz w:val="24"/>
          <w:szCs w:val="24"/>
        </w:rPr>
        <w:t>gé comme étant faible par l’INPN</w:t>
      </w:r>
      <w:r w:rsidR="00C17959">
        <w:rPr>
          <w:rFonts w:ascii="Times New Roman" w:hAnsi="Times New Roman" w:cs="Times New Roman"/>
          <w:sz w:val="24"/>
          <w:szCs w:val="24"/>
        </w:rPr>
        <w:t>, ne saurait, à elle seule, démontrer que l’évaluation des incidences du projet sur la flore</w:t>
      </w:r>
      <w:r w:rsidR="00C86E67">
        <w:rPr>
          <w:rFonts w:ascii="Times New Roman" w:hAnsi="Times New Roman" w:cs="Times New Roman"/>
          <w:sz w:val="24"/>
          <w:szCs w:val="24"/>
        </w:rPr>
        <w:t xml:space="preserve"> et le couvert végétal</w:t>
      </w:r>
      <w:r w:rsidR="00C17959">
        <w:rPr>
          <w:rFonts w:ascii="Times New Roman" w:hAnsi="Times New Roman" w:cs="Times New Roman"/>
          <w:sz w:val="24"/>
          <w:szCs w:val="24"/>
        </w:rPr>
        <w:t xml:space="preserve"> aurait été insuffisante ou minorée</w:t>
      </w:r>
      <w:r w:rsidR="00294A8A">
        <w:rPr>
          <w:rFonts w:ascii="Times New Roman" w:hAnsi="Times New Roman" w:cs="Times New Roman"/>
          <w:sz w:val="24"/>
          <w:szCs w:val="24"/>
        </w:rPr>
        <w:t xml:space="preserve"> </w:t>
      </w:r>
      <w:r w:rsidR="00C17959" w:rsidRPr="006853F4">
        <w:rPr>
          <w:rFonts w:ascii="Times New Roman" w:hAnsi="Times New Roman" w:cs="Times New Roman"/>
          <w:sz w:val="24"/>
          <w:szCs w:val="24"/>
        </w:rPr>
        <w:t>de</w:t>
      </w:r>
      <w:r w:rsidR="00C17959">
        <w:rPr>
          <w:rFonts w:ascii="Times New Roman" w:hAnsi="Times New Roman" w:cs="Times New Roman"/>
          <w:sz w:val="24"/>
          <w:szCs w:val="24"/>
        </w:rPr>
        <w:t xml:space="preserve"> nature à avoir nui </w:t>
      </w:r>
      <w:r w:rsidR="00C17959" w:rsidRPr="006853F4">
        <w:rPr>
          <w:rFonts w:ascii="Times New Roman" w:hAnsi="Times New Roman" w:cs="Times New Roman"/>
          <w:sz w:val="24"/>
          <w:szCs w:val="24"/>
        </w:rPr>
        <w:t xml:space="preserve">à l’information complète </w:t>
      </w:r>
      <w:r w:rsidR="00C17959">
        <w:rPr>
          <w:rFonts w:ascii="Times New Roman" w:hAnsi="Times New Roman" w:cs="Times New Roman"/>
          <w:sz w:val="24"/>
          <w:szCs w:val="24"/>
        </w:rPr>
        <w:t>du public</w:t>
      </w:r>
      <w:r w:rsidR="00C17959" w:rsidRPr="006853F4">
        <w:rPr>
          <w:rFonts w:ascii="Times New Roman" w:hAnsi="Times New Roman" w:cs="Times New Roman"/>
          <w:sz w:val="24"/>
          <w:szCs w:val="24"/>
        </w:rPr>
        <w:t xml:space="preserve"> ou à</w:t>
      </w:r>
      <w:r w:rsidR="00C17959">
        <w:rPr>
          <w:rFonts w:ascii="Times New Roman" w:hAnsi="Times New Roman" w:cs="Times New Roman"/>
          <w:sz w:val="24"/>
          <w:szCs w:val="24"/>
        </w:rPr>
        <w:t xml:space="preserve"> avoir</w:t>
      </w:r>
      <w:r w:rsidR="00294A8A">
        <w:rPr>
          <w:rFonts w:ascii="Times New Roman" w:hAnsi="Times New Roman" w:cs="Times New Roman"/>
          <w:sz w:val="24"/>
          <w:szCs w:val="24"/>
        </w:rPr>
        <w:t xml:space="preserve"> exercé</w:t>
      </w:r>
      <w:r w:rsidR="00C17959" w:rsidRPr="006853F4">
        <w:rPr>
          <w:rFonts w:ascii="Times New Roman" w:hAnsi="Times New Roman" w:cs="Times New Roman"/>
          <w:sz w:val="24"/>
          <w:szCs w:val="24"/>
        </w:rPr>
        <w:t xml:space="preserve"> une </w:t>
      </w:r>
      <w:r w:rsidR="00C17959">
        <w:rPr>
          <w:rFonts w:ascii="Times New Roman" w:hAnsi="Times New Roman" w:cs="Times New Roman"/>
          <w:sz w:val="24"/>
          <w:szCs w:val="24"/>
        </w:rPr>
        <w:t xml:space="preserve">quelconque </w:t>
      </w:r>
      <w:r w:rsidR="00C17959" w:rsidRPr="006853F4">
        <w:rPr>
          <w:rFonts w:ascii="Times New Roman" w:hAnsi="Times New Roman" w:cs="Times New Roman"/>
          <w:sz w:val="24"/>
          <w:szCs w:val="24"/>
        </w:rPr>
        <w:t>influence sur la décision de l’autorité administrative</w:t>
      </w:r>
      <w:r w:rsidR="00220D89">
        <w:rPr>
          <w:rFonts w:ascii="Times New Roman" w:hAnsi="Times New Roman" w:cs="Times New Roman"/>
          <w:sz w:val="24"/>
          <w:szCs w:val="24"/>
        </w:rPr>
        <w:t xml:space="preserve">. Dans ces conditions, cette branche du moyen tiré de l’insuffisance de l’étude d’impact doit être écartée. </w:t>
      </w:r>
    </w:p>
    <w:p w14:paraId="548DFAB0" w14:textId="09C7DEAF" w:rsidR="00220D89" w:rsidRPr="00220D89" w:rsidRDefault="00220D89" w:rsidP="00220D89">
      <w:pPr>
        <w:spacing w:after="0" w:line="240" w:lineRule="auto"/>
        <w:ind w:firstLine="851"/>
        <w:jc w:val="both"/>
        <w:rPr>
          <w:rFonts w:ascii="Times New Roman" w:hAnsi="Times New Roman" w:cs="Times New Roman"/>
          <w:b/>
          <w:sz w:val="24"/>
          <w:szCs w:val="24"/>
          <w:u w:val="single"/>
        </w:rPr>
      </w:pPr>
    </w:p>
    <w:p w14:paraId="2C69951C" w14:textId="77777777" w:rsidR="00D659FB" w:rsidRDefault="00220D89" w:rsidP="00294A8A">
      <w:pPr>
        <w:spacing w:after="0" w:line="240" w:lineRule="auto"/>
        <w:jc w:val="both"/>
        <w:rPr>
          <w:rFonts w:ascii="Times New Roman" w:hAnsi="Times New Roman" w:cs="Times New Roman"/>
          <w:b/>
          <w:sz w:val="24"/>
          <w:szCs w:val="24"/>
          <w:u w:val="single"/>
        </w:rPr>
      </w:pPr>
      <w:r w:rsidRPr="00220D89">
        <w:rPr>
          <w:rFonts w:ascii="Times New Roman" w:hAnsi="Times New Roman" w:cs="Times New Roman"/>
          <w:b/>
          <w:sz w:val="24"/>
          <w:szCs w:val="24"/>
          <w:u w:val="single"/>
        </w:rPr>
        <w:t>En ce qui concerne la faune :</w:t>
      </w:r>
    </w:p>
    <w:p w14:paraId="380A3E76" w14:textId="77777777" w:rsidR="00D659FB" w:rsidRDefault="00D659FB" w:rsidP="00D659FB">
      <w:pPr>
        <w:spacing w:after="0" w:line="240" w:lineRule="auto"/>
        <w:ind w:firstLine="851"/>
        <w:jc w:val="both"/>
        <w:rPr>
          <w:rFonts w:ascii="Times New Roman" w:hAnsi="Times New Roman" w:cs="Times New Roman"/>
          <w:b/>
          <w:sz w:val="24"/>
          <w:szCs w:val="24"/>
          <w:u w:val="single"/>
        </w:rPr>
      </w:pPr>
    </w:p>
    <w:p w14:paraId="118F03F4" w14:textId="0B4C63EB" w:rsidR="00220D89" w:rsidRPr="00E436D7" w:rsidRDefault="003B5587" w:rsidP="00294A8A">
      <w:pPr>
        <w:spacing w:after="0" w:line="240" w:lineRule="auto"/>
        <w:jc w:val="both"/>
        <w:rPr>
          <w:rFonts w:ascii="Times New Roman" w:hAnsi="Times New Roman" w:cs="Times New Roman"/>
          <w:b/>
          <w:sz w:val="24"/>
          <w:szCs w:val="24"/>
          <w:u w:val="single"/>
        </w:rPr>
      </w:pPr>
      <w:r w:rsidRPr="00E436D7">
        <w:rPr>
          <w:rFonts w:ascii="Times New Roman" w:hAnsi="Times New Roman" w:cs="Times New Roman"/>
          <w:b/>
          <w:sz w:val="24"/>
          <w:szCs w:val="24"/>
          <w:u w:val="single"/>
        </w:rPr>
        <w:t xml:space="preserve">Quant </w:t>
      </w:r>
      <w:r w:rsidR="00D659FB" w:rsidRPr="00E436D7">
        <w:rPr>
          <w:rFonts w:ascii="Times New Roman" w:hAnsi="Times New Roman" w:cs="Times New Roman"/>
          <w:b/>
          <w:sz w:val="24"/>
          <w:szCs w:val="24"/>
          <w:u w:val="single"/>
        </w:rPr>
        <w:t>aux insectes :</w:t>
      </w:r>
    </w:p>
    <w:p w14:paraId="0CA1F27C" w14:textId="19154F36" w:rsidR="00D659FB" w:rsidRDefault="00D659FB" w:rsidP="00D659FB">
      <w:pPr>
        <w:spacing w:after="0" w:line="240" w:lineRule="auto"/>
        <w:ind w:firstLine="851"/>
        <w:jc w:val="both"/>
        <w:rPr>
          <w:rFonts w:ascii="Times New Roman" w:hAnsi="Times New Roman" w:cs="Times New Roman"/>
          <w:sz w:val="24"/>
          <w:szCs w:val="24"/>
        </w:rPr>
      </w:pPr>
    </w:p>
    <w:p w14:paraId="618C7CAB" w14:textId="1284E703" w:rsidR="00D659FB" w:rsidRDefault="00775E12" w:rsidP="00C86E6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30</w:t>
      </w:r>
      <w:r w:rsidR="00D659FB">
        <w:rPr>
          <w:rFonts w:ascii="Times New Roman" w:hAnsi="Times New Roman" w:cs="Times New Roman"/>
          <w:sz w:val="24"/>
          <w:szCs w:val="24"/>
        </w:rPr>
        <w:t>.</w:t>
      </w:r>
      <w:r w:rsidR="00B906F6">
        <w:rPr>
          <w:rFonts w:ascii="Times New Roman" w:hAnsi="Times New Roman" w:cs="Times New Roman"/>
          <w:sz w:val="24"/>
          <w:szCs w:val="24"/>
        </w:rPr>
        <w:t xml:space="preserve"> </w:t>
      </w:r>
      <w:r w:rsidR="00C86E67">
        <w:rPr>
          <w:rFonts w:ascii="Times New Roman" w:hAnsi="Times New Roman" w:cs="Times New Roman"/>
          <w:sz w:val="24"/>
          <w:szCs w:val="24"/>
        </w:rPr>
        <w:t>D’une part, l’allégation de l’association requérante selon laquelle l’inventaire entomologique est incomplet dès lors qu’il aurait été uniquement réalisé sur la période allant du printemps au début de l’été est contredite par les pièces du dossier et plus particulièr</w:t>
      </w:r>
      <w:r w:rsidR="00294A8A">
        <w:rPr>
          <w:rFonts w:ascii="Times New Roman" w:hAnsi="Times New Roman" w:cs="Times New Roman"/>
          <w:sz w:val="24"/>
          <w:szCs w:val="24"/>
        </w:rPr>
        <w:t>ement par l’avis précité du CNPN</w:t>
      </w:r>
      <w:r w:rsidR="00C86E67">
        <w:rPr>
          <w:rFonts w:ascii="Times New Roman" w:hAnsi="Times New Roman" w:cs="Times New Roman"/>
          <w:sz w:val="24"/>
          <w:szCs w:val="24"/>
        </w:rPr>
        <w:t xml:space="preserve"> qui indique que les inventaires de l’étude d’impact parmi lesquels ledit inventaire </w:t>
      </w:r>
      <w:r w:rsidR="00C86E67" w:rsidRPr="00C86E67">
        <w:rPr>
          <w:rFonts w:ascii="Times New Roman" w:hAnsi="Times New Roman" w:cs="Times New Roman"/>
          <w:sz w:val="24"/>
          <w:szCs w:val="24"/>
        </w:rPr>
        <w:t>entomologique</w:t>
      </w:r>
      <w:r w:rsidR="00C86E67">
        <w:rPr>
          <w:rFonts w:ascii="Times New Roman" w:hAnsi="Times New Roman" w:cs="Times New Roman"/>
          <w:sz w:val="24"/>
          <w:szCs w:val="24"/>
        </w:rPr>
        <w:t xml:space="preserve"> ont été réalisés « </w:t>
      </w:r>
      <w:r w:rsidR="00C86E67" w:rsidRPr="00294A8A">
        <w:rPr>
          <w:rFonts w:ascii="Times New Roman" w:hAnsi="Times New Roman" w:cs="Times New Roman"/>
          <w:i/>
          <w:sz w:val="24"/>
          <w:szCs w:val="24"/>
        </w:rPr>
        <w:t>à des périodes appropriées</w:t>
      </w:r>
      <w:r w:rsidR="00C86E67">
        <w:rPr>
          <w:rFonts w:ascii="Times New Roman" w:hAnsi="Times New Roman" w:cs="Times New Roman"/>
          <w:sz w:val="24"/>
          <w:szCs w:val="24"/>
        </w:rPr>
        <w:t> »</w:t>
      </w:r>
      <w:r w:rsidR="00706501">
        <w:rPr>
          <w:rFonts w:ascii="Times New Roman" w:hAnsi="Times New Roman" w:cs="Times New Roman"/>
          <w:sz w:val="24"/>
          <w:szCs w:val="24"/>
        </w:rPr>
        <w:t>,</w:t>
      </w:r>
      <w:r w:rsidR="00C86E67">
        <w:rPr>
          <w:rFonts w:ascii="Times New Roman" w:hAnsi="Times New Roman" w:cs="Times New Roman"/>
          <w:sz w:val="24"/>
          <w:szCs w:val="24"/>
        </w:rPr>
        <w:t xml:space="preserve"> et par l’étude impact elle-même laquelle indique la réalisation d’un inventaire écologique sur un « </w:t>
      </w:r>
      <w:r w:rsidR="00C86E67" w:rsidRPr="00294A8A">
        <w:rPr>
          <w:rFonts w:ascii="Times New Roman" w:hAnsi="Times New Roman" w:cs="Times New Roman"/>
          <w:i/>
          <w:sz w:val="24"/>
          <w:szCs w:val="24"/>
        </w:rPr>
        <w:t>cycle biologique complet</w:t>
      </w:r>
      <w:r w:rsidR="00C86E67">
        <w:rPr>
          <w:rFonts w:ascii="Times New Roman" w:hAnsi="Times New Roman" w:cs="Times New Roman"/>
          <w:sz w:val="24"/>
          <w:szCs w:val="24"/>
        </w:rPr>
        <w:t xml:space="preserve"> » entre le printemps 2018 et l’autonome 2019 enrichi par des investigations de terrains complémentaires au cours de l’année 2020. </w:t>
      </w:r>
      <w:r w:rsidR="00206616">
        <w:rPr>
          <w:rFonts w:ascii="Times New Roman" w:hAnsi="Times New Roman" w:cs="Times New Roman"/>
          <w:sz w:val="24"/>
          <w:szCs w:val="24"/>
        </w:rPr>
        <w:t xml:space="preserve">D’autre part, la </w:t>
      </w:r>
      <w:r w:rsidR="00B22D44">
        <w:rPr>
          <w:rFonts w:ascii="Times New Roman" w:hAnsi="Times New Roman" w:cs="Times New Roman"/>
          <w:sz w:val="24"/>
          <w:szCs w:val="24"/>
        </w:rPr>
        <w:t xml:space="preserve">seule </w:t>
      </w:r>
      <w:r w:rsidR="00206616">
        <w:rPr>
          <w:rFonts w:ascii="Times New Roman" w:hAnsi="Times New Roman" w:cs="Times New Roman"/>
          <w:sz w:val="24"/>
          <w:szCs w:val="24"/>
        </w:rPr>
        <w:t xml:space="preserve">circonstance </w:t>
      </w:r>
      <w:r w:rsidR="00B22D44">
        <w:rPr>
          <w:rFonts w:ascii="Times New Roman" w:hAnsi="Times New Roman" w:cs="Times New Roman"/>
          <w:sz w:val="24"/>
          <w:szCs w:val="24"/>
        </w:rPr>
        <w:t>que</w:t>
      </w:r>
      <w:r w:rsidR="00206616">
        <w:rPr>
          <w:rFonts w:ascii="Times New Roman" w:hAnsi="Times New Roman" w:cs="Times New Roman"/>
          <w:sz w:val="24"/>
          <w:szCs w:val="24"/>
        </w:rPr>
        <w:t xml:space="preserve"> </w:t>
      </w:r>
      <w:r w:rsidR="00B22D44">
        <w:rPr>
          <w:rFonts w:ascii="Times New Roman" w:hAnsi="Times New Roman" w:cs="Times New Roman"/>
          <w:sz w:val="24"/>
          <w:szCs w:val="24"/>
        </w:rPr>
        <w:t>l’</w:t>
      </w:r>
      <w:r w:rsidR="00206616">
        <w:rPr>
          <w:rFonts w:ascii="Times New Roman" w:hAnsi="Times New Roman" w:cs="Times New Roman"/>
          <w:sz w:val="24"/>
          <w:szCs w:val="24"/>
        </w:rPr>
        <w:t xml:space="preserve">inventaire </w:t>
      </w:r>
      <w:r w:rsidR="00206616" w:rsidRPr="00206616">
        <w:rPr>
          <w:rFonts w:ascii="Times New Roman" w:hAnsi="Times New Roman" w:cs="Times New Roman"/>
          <w:sz w:val="24"/>
          <w:szCs w:val="24"/>
        </w:rPr>
        <w:t>entomologique</w:t>
      </w:r>
      <w:r w:rsidR="00206616">
        <w:rPr>
          <w:rFonts w:ascii="Times New Roman" w:hAnsi="Times New Roman" w:cs="Times New Roman"/>
          <w:sz w:val="24"/>
          <w:szCs w:val="24"/>
        </w:rPr>
        <w:t xml:space="preserve"> </w:t>
      </w:r>
      <w:r w:rsidR="00B22D44">
        <w:rPr>
          <w:rFonts w:ascii="Times New Roman" w:hAnsi="Times New Roman" w:cs="Times New Roman"/>
          <w:sz w:val="24"/>
          <w:szCs w:val="24"/>
        </w:rPr>
        <w:t>n’a</w:t>
      </w:r>
      <w:r w:rsidR="00B906F6">
        <w:rPr>
          <w:rFonts w:ascii="Times New Roman" w:hAnsi="Times New Roman" w:cs="Times New Roman"/>
          <w:sz w:val="24"/>
          <w:szCs w:val="24"/>
        </w:rPr>
        <w:t>it</w:t>
      </w:r>
      <w:r w:rsidR="00B22D44">
        <w:rPr>
          <w:rFonts w:ascii="Times New Roman" w:hAnsi="Times New Roman" w:cs="Times New Roman"/>
          <w:sz w:val="24"/>
          <w:szCs w:val="24"/>
        </w:rPr>
        <w:t xml:space="preserve"> pas répertorié des espèces d’insectes, pour certaines protégées, qui ont été identifiées au sein des Alpes-Maritimes et plus particulièrement au sein de communes environnantes, ne saurait révéler, à elle</w:t>
      </w:r>
      <w:r w:rsidR="00B906F6">
        <w:rPr>
          <w:rFonts w:ascii="Times New Roman" w:hAnsi="Times New Roman" w:cs="Times New Roman"/>
          <w:sz w:val="24"/>
          <w:szCs w:val="24"/>
        </w:rPr>
        <w:t xml:space="preserve"> seule, le caractère insuffisant</w:t>
      </w:r>
      <w:r w:rsidR="00B22D44">
        <w:rPr>
          <w:rFonts w:ascii="Times New Roman" w:hAnsi="Times New Roman" w:cs="Times New Roman"/>
          <w:sz w:val="24"/>
          <w:szCs w:val="24"/>
        </w:rPr>
        <w:t xml:space="preserve"> </w:t>
      </w:r>
      <w:r w:rsidR="00B906F6">
        <w:rPr>
          <w:rFonts w:ascii="Times New Roman" w:hAnsi="Times New Roman" w:cs="Times New Roman"/>
          <w:sz w:val="24"/>
          <w:szCs w:val="24"/>
        </w:rPr>
        <w:t xml:space="preserve">de cet inventaire et par suite de l’étude d’impact litigieuse. </w:t>
      </w:r>
    </w:p>
    <w:p w14:paraId="75E6814E" w14:textId="3691DFAD" w:rsidR="00B906F6" w:rsidRDefault="00B906F6" w:rsidP="00C86E67">
      <w:pPr>
        <w:spacing w:after="0" w:line="240" w:lineRule="auto"/>
        <w:ind w:firstLine="851"/>
        <w:jc w:val="both"/>
        <w:rPr>
          <w:rFonts w:ascii="Times New Roman" w:hAnsi="Times New Roman" w:cs="Times New Roman"/>
          <w:sz w:val="24"/>
          <w:szCs w:val="24"/>
        </w:rPr>
      </w:pPr>
    </w:p>
    <w:p w14:paraId="153EBF6D" w14:textId="4E44CBC4" w:rsidR="00B906F6" w:rsidRPr="00E436D7" w:rsidRDefault="00B906F6" w:rsidP="00294A8A">
      <w:pPr>
        <w:tabs>
          <w:tab w:val="left" w:pos="1560"/>
        </w:tabs>
        <w:spacing w:after="0" w:line="240" w:lineRule="auto"/>
        <w:jc w:val="both"/>
        <w:rPr>
          <w:rFonts w:ascii="Times New Roman" w:hAnsi="Times New Roman" w:cs="Times New Roman"/>
          <w:b/>
          <w:sz w:val="24"/>
          <w:szCs w:val="24"/>
          <w:u w:val="single"/>
        </w:rPr>
      </w:pPr>
      <w:r w:rsidRPr="00E436D7">
        <w:rPr>
          <w:rFonts w:ascii="Times New Roman" w:hAnsi="Times New Roman" w:cs="Times New Roman"/>
          <w:b/>
          <w:sz w:val="24"/>
          <w:szCs w:val="24"/>
          <w:u w:val="single"/>
        </w:rPr>
        <w:lastRenderedPageBreak/>
        <w:t xml:space="preserve">Quant à la </w:t>
      </w:r>
      <w:r w:rsidR="00294A8A" w:rsidRPr="00E436D7">
        <w:rPr>
          <w:rFonts w:ascii="Times New Roman" w:hAnsi="Times New Roman" w:cs="Times New Roman"/>
          <w:b/>
          <w:sz w:val="24"/>
          <w:szCs w:val="24"/>
          <w:u w:val="single"/>
        </w:rPr>
        <w:t>« </w:t>
      </w:r>
      <w:r w:rsidRPr="00E436D7">
        <w:rPr>
          <w:rFonts w:ascii="Times New Roman" w:hAnsi="Times New Roman" w:cs="Times New Roman"/>
          <w:b/>
          <w:i/>
          <w:sz w:val="24"/>
          <w:szCs w:val="24"/>
          <w:u w:val="single"/>
        </w:rPr>
        <w:t>magicienne dentelée</w:t>
      </w:r>
      <w:r w:rsidR="00294A8A" w:rsidRPr="00E436D7">
        <w:rPr>
          <w:rFonts w:ascii="Times New Roman" w:hAnsi="Times New Roman" w:cs="Times New Roman"/>
          <w:b/>
          <w:sz w:val="24"/>
          <w:szCs w:val="24"/>
          <w:u w:val="single"/>
        </w:rPr>
        <w:t> »</w:t>
      </w:r>
      <w:r w:rsidRPr="00E436D7">
        <w:rPr>
          <w:rFonts w:ascii="Times New Roman" w:hAnsi="Times New Roman" w:cs="Times New Roman"/>
          <w:b/>
          <w:sz w:val="24"/>
          <w:szCs w:val="24"/>
          <w:u w:val="single"/>
        </w:rPr>
        <w:t xml:space="preserve"> : </w:t>
      </w:r>
    </w:p>
    <w:p w14:paraId="3A37FC13" w14:textId="7A5AAFAC" w:rsidR="00B906F6" w:rsidRDefault="00B906F6" w:rsidP="00B906F6">
      <w:pPr>
        <w:tabs>
          <w:tab w:val="left" w:pos="1560"/>
        </w:tabs>
        <w:spacing w:after="0" w:line="240" w:lineRule="auto"/>
        <w:ind w:firstLine="851"/>
        <w:jc w:val="both"/>
        <w:rPr>
          <w:rFonts w:ascii="Times New Roman" w:hAnsi="Times New Roman" w:cs="Times New Roman"/>
          <w:sz w:val="24"/>
          <w:szCs w:val="24"/>
          <w:u w:val="single"/>
        </w:rPr>
      </w:pPr>
    </w:p>
    <w:p w14:paraId="5A9C10E0" w14:textId="30A6C0F2" w:rsidR="00FB4FFD" w:rsidRDefault="00775E12" w:rsidP="00294A8A">
      <w:pPr>
        <w:tabs>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31</w:t>
      </w:r>
      <w:r w:rsidR="00B906F6" w:rsidRPr="00B906F6">
        <w:rPr>
          <w:rFonts w:ascii="Times New Roman" w:hAnsi="Times New Roman" w:cs="Times New Roman"/>
          <w:sz w:val="24"/>
          <w:szCs w:val="24"/>
        </w:rPr>
        <w:t xml:space="preserve">. </w:t>
      </w:r>
      <w:r w:rsidR="00B906F6">
        <w:rPr>
          <w:rFonts w:ascii="Times New Roman" w:hAnsi="Times New Roman" w:cs="Times New Roman"/>
          <w:sz w:val="24"/>
          <w:szCs w:val="24"/>
        </w:rPr>
        <w:t xml:space="preserve">En l’espèce, </w:t>
      </w:r>
      <w:r w:rsidR="00FB4FFD">
        <w:rPr>
          <w:rFonts w:ascii="Times New Roman" w:hAnsi="Times New Roman" w:cs="Times New Roman"/>
          <w:sz w:val="24"/>
          <w:szCs w:val="24"/>
        </w:rPr>
        <w:t>il ressort des pièces du dossier que malgré les inventaires qui y ont été spécifiquement dédiés, la présence de la « </w:t>
      </w:r>
      <w:r w:rsidR="00FB4FFD" w:rsidRPr="00294A8A">
        <w:rPr>
          <w:rFonts w:ascii="Times New Roman" w:hAnsi="Times New Roman" w:cs="Times New Roman"/>
          <w:i/>
          <w:sz w:val="24"/>
          <w:szCs w:val="24"/>
        </w:rPr>
        <w:t>magicienne dentelée</w:t>
      </w:r>
      <w:r w:rsidR="00FB4FFD">
        <w:rPr>
          <w:rFonts w:ascii="Times New Roman" w:hAnsi="Times New Roman" w:cs="Times New Roman"/>
          <w:sz w:val="24"/>
          <w:szCs w:val="24"/>
        </w:rPr>
        <w:t> », plus grand orthoptère d’Europe</w:t>
      </w:r>
      <w:r w:rsidR="009830C9">
        <w:rPr>
          <w:rFonts w:ascii="Times New Roman" w:hAnsi="Times New Roman" w:cs="Times New Roman"/>
          <w:sz w:val="24"/>
          <w:szCs w:val="24"/>
        </w:rPr>
        <w:t>,</w:t>
      </w:r>
      <w:r w:rsidR="00FB4FFD">
        <w:rPr>
          <w:rFonts w:ascii="Times New Roman" w:hAnsi="Times New Roman" w:cs="Times New Roman"/>
          <w:sz w:val="24"/>
          <w:szCs w:val="24"/>
        </w:rPr>
        <w:t xml:space="preserve"> n’a pas été observée au sein du secteur litigieux. Toutefois, il est constant que l’étude d’impact n’</w:t>
      </w:r>
      <w:r w:rsidR="009830C9">
        <w:rPr>
          <w:rFonts w:ascii="Times New Roman" w:hAnsi="Times New Roman" w:cs="Times New Roman"/>
          <w:sz w:val="24"/>
          <w:szCs w:val="24"/>
        </w:rPr>
        <w:t xml:space="preserve">en </w:t>
      </w:r>
      <w:r w:rsidR="00FB4FFD">
        <w:rPr>
          <w:rFonts w:ascii="Times New Roman" w:hAnsi="Times New Roman" w:cs="Times New Roman"/>
          <w:sz w:val="24"/>
          <w:szCs w:val="24"/>
        </w:rPr>
        <w:t>a pas</w:t>
      </w:r>
      <w:r w:rsidR="009830C9">
        <w:rPr>
          <w:rFonts w:ascii="Times New Roman" w:hAnsi="Times New Roman" w:cs="Times New Roman"/>
          <w:sz w:val="24"/>
          <w:szCs w:val="24"/>
        </w:rPr>
        <w:t>, pour autant, écarté toute présence, laquelle est néanmoins fortement réduite par l’activité de pâturage</w:t>
      </w:r>
      <w:r w:rsidR="00FB4FFD">
        <w:rPr>
          <w:rFonts w:ascii="Times New Roman" w:hAnsi="Times New Roman" w:cs="Times New Roman"/>
          <w:sz w:val="24"/>
          <w:szCs w:val="24"/>
        </w:rPr>
        <w:t>,</w:t>
      </w:r>
      <w:r w:rsidR="009830C9">
        <w:rPr>
          <w:rFonts w:ascii="Times New Roman" w:hAnsi="Times New Roman" w:cs="Times New Roman"/>
          <w:sz w:val="24"/>
          <w:szCs w:val="24"/>
        </w:rPr>
        <w:t xml:space="preserve"> en qualifiant l</w:t>
      </w:r>
      <w:r w:rsidR="00FB4FFD">
        <w:rPr>
          <w:rFonts w:ascii="Times New Roman" w:hAnsi="Times New Roman" w:cs="Times New Roman"/>
          <w:sz w:val="24"/>
          <w:szCs w:val="24"/>
        </w:rPr>
        <w:t xml:space="preserve">a préservation </w:t>
      </w:r>
      <w:r w:rsidR="009830C9">
        <w:rPr>
          <w:rFonts w:ascii="Times New Roman" w:hAnsi="Times New Roman" w:cs="Times New Roman"/>
          <w:sz w:val="24"/>
          <w:szCs w:val="24"/>
        </w:rPr>
        <w:t xml:space="preserve">de ladite espèce </w:t>
      </w:r>
      <w:r w:rsidR="00FB4FFD">
        <w:rPr>
          <w:rFonts w:ascii="Times New Roman" w:hAnsi="Times New Roman" w:cs="Times New Roman"/>
          <w:sz w:val="24"/>
          <w:szCs w:val="24"/>
        </w:rPr>
        <w:t>d’</w:t>
      </w:r>
      <w:r w:rsidR="009830C9">
        <w:rPr>
          <w:rFonts w:ascii="Times New Roman" w:hAnsi="Times New Roman" w:cs="Times New Roman"/>
          <w:sz w:val="24"/>
          <w:szCs w:val="24"/>
        </w:rPr>
        <w:t>enjeu</w:t>
      </w:r>
      <w:r w:rsidR="00FB4FFD">
        <w:rPr>
          <w:rFonts w:ascii="Times New Roman" w:hAnsi="Times New Roman" w:cs="Times New Roman"/>
          <w:sz w:val="24"/>
          <w:szCs w:val="24"/>
        </w:rPr>
        <w:t xml:space="preserve"> « fort » </w:t>
      </w:r>
      <w:r w:rsidR="005C0D0C">
        <w:rPr>
          <w:rFonts w:ascii="Times New Roman" w:hAnsi="Times New Roman" w:cs="Times New Roman"/>
          <w:sz w:val="24"/>
          <w:szCs w:val="24"/>
        </w:rPr>
        <w:t>et en analysant, dès lors,</w:t>
      </w:r>
      <w:r w:rsidR="00FB4FFD">
        <w:rPr>
          <w:rFonts w:ascii="Times New Roman" w:hAnsi="Times New Roman" w:cs="Times New Roman"/>
          <w:sz w:val="24"/>
          <w:szCs w:val="24"/>
        </w:rPr>
        <w:t xml:space="preserve"> les incidences potentielles </w:t>
      </w:r>
      <w:r w:rsidR="005C0D0C">
        <w:rPr>
          <w:rFonts w:ascii="Times New Roman" w:hAnsi="Times New Roman" w:cs="Times New Roman"/>
          <w:sz w:val="24"/>
          <w:szCs w:val="24"/>
        </w:rPr>
        <w:t>que</w:t>
      </w:r>
      <w:r w:rsidR="00294A8A">
        <w:rPr>
          <w:rFonts w:ascii="Times New Roman" w:hAnsi="Times New Roman" w:cs="Times New Roman"/>
          <w:sz w:val="24"/>
          <w:szCs w:val="24"/>
        </w:rPr>
        <w:t xml:space="preserve"> peut avoir le projet litigieux, </w:t>
      </w:r>
      <w:r w:rsidR="005C0D0C">
        <w:rPr>
          <w:rFonts w:ascii="Times New Roman" w:hAnsi="Times New Roman" w:cs="Times New Roman"/>
          <w:sz w:val="24"/>
          <w:szCs w:val="24"/>
        </w:rPr>
        <w:t>qualifiées to</w:t>
      </w:r>
      <w:r w:rsidR="00706501">
        <w:rPr>
          <w:rFonts w:ascii="Times New Roman" w:hAnsi="Times New Roman" w:cs="Times New Roman"/>
          <w:sz w:val="24"/>
          <w:szCs w:val="24"/>
        </w:rPr>
        <w:t>utefois de « faible</w:t>
      </w:r>
      <w:r w:rsidR="009830C9">
        <w:rPr>
          <w:rFonts w:ascii="Times New Roman" w:hAnsi="Times New Roman" w:cs="Times New Roman"/>
          <w:sz w:val="24"/>
          <w:szCs w:val="24"/>
        </w:rPr>
        <w:t> »</w:t>
      </w:r>
      <w:r w:rsidR="005C0D0C">
        <w:rPr>
          <w:rFonts w:ascii="Times New Roman" w:hAnsi="Times New Roman" w:cs="Times New Roman"/>
          <w:sz w:val="24"/>
          <w:szCs w:val="24"/>
        </w:rPr>
        <w:t xml:space="preserve"> pendant la phase de chantier compte tenu de la conservation des secteurs fournis en végétation herbacée et de </w:t>
      </w:r>
      <w:r w:rsidR="009830C9">
        <w:rPr>
          <w:rFonts w:ascii="Times New Roman" w:hAnsi="Times New Roman" w:cs="Times New Roman"/>
          <w:sz w:val="24"/>
          <w:szCs w:val="24"/>
        </w:rPr>
        <w:t>« </w:t>
      </w:r>
      <w:r w:rsidR="005C0D0C">
        <w:rPr>
          <w:rFonts w:ascii="Times New Roman" w:hAnsi="Times New Roman" w:cs="Times New Roman"/>
          <w:sz w:val="24"/>
          <w:szCs w:val="24"/>
        </w:rPr>
        <w:t>négligeable</w:t>
      </w:r>
      <w:r w:rsidR="009830C9">
        <w:rPr>
          <w:rFonts w:ascii="Times New Roman" w:hAnsi="Times New Roman" w:cs="Times New Roman"/>
          <w:sz w:val="24"/>
          <w:szCs w:val="24"/>
        </w:rPr>
        <w:t> »</w:t>
      </w:r>
      <w:r w:rsidR="005C0D0C">
        <w:rPr>
          <w:rFonts w:ascii="Times New Roman" w:hAnsi="Times New Roman" w:cs="Times New Roman"/>
          <w:sz w:val="24"/>
          <w:szCs w:val="24"/>
        </w:rPr>
        <w:t xml:space="preserve"> pendant la phase d’exploitation laquelle n’a pas pour effet de perturber le déplacement des orthoptère</w:t>
      </w:r>
      <w:r w:rsidR="007400DF">
        <w:rPr>
          <w:rFonts w:ascii="Times New Roman" w:hAnsi="Times New Roman" w:cs="Times New Roman"/>
          <w:sz w:val="24"/>
          <w:szCs w:val="24"/>
        </w:rPr>
        <w:t>s</w:t>
      </w:r>
      <w:r w:rsidR="005C0D0C">
        <w:rPr>
          <w:rFonts w:ascii="Times New Roman" w:hAnsi="Times New Roman" w:cs="Times New Roman"/>
          <w:sz w:val="24"/>
          <w:szCs w:val="24"/>
        </w:rPr>
        <w:t xml:space="preserve"> ni d’aucun insecte. Dans ces conditions, l’étude d’impact litigieuse ne saurait êt</w:t>
      </w:r>
      <w:r w:rsidR="00706501">
        <w:rPr>
          <w:rFonts w:ascii="Times New Roman" w:hAnsi="Times New Roman" w:cs="Times New Roman"/>
          <w:sz w:val="24"/>
          <w:szCs w:val="24"/>
        </w:rPr>
        <w:t>re regardée comme ayant négligé</w:t>
      </w:r>
      <w:r w:rsidR="005C0D0C">
        <w:rPr>
          <w:rFonts w:ascii="Times New Roman" w:hAnsi="Times New Roman" w:cs="Times New Roman"/>
          <w:sz w:val="24"/>
          <w:szCs w:val="24"/>
        </w:rPr>
        <w:t xml:space="preserve"> les incidences du projet sur la préservation de la « </w:t>
      </w:r>
      <w:r w:rsidR="005C0D0C" w:rsidRPr="00294A8A">
        <w:rPr>
          <w:rFonts w:ascii="Times New Roman" w:hAnsi="Times New Roman" w:cs="Times New Roman"/>
          <w:i/>
          <w:sz w:val="24"/>
          <w:szCs w:val="24"/>
        </w:rPr>
        <w:t>magicienne dentelée</w:t>
      </w:r>
      <w:r w:rsidR="005C0D0C">
        <w:rPr>
          <w:rFonts w:ascii="Times New Roman" w:hAnsi="Times New Roman" w:cs="Times New Roman"/>
          <w:sz w:val="24"/>
          <w:szCs w:val="24"/>
        </w:rPr>
        <w:t xml:space="preserve"> ». </w:t>
      </w:r>
    </w:p>
    <w:p w14:paraId="25EA2FC9" w14:textId="482C40DD" w:rsidR="00492700" w:rsidRDefault="00492700" w:rsidP="005C0D0C">
      <w:pPr>
        <w:tabs>
          <w:tab w:val="left" w:pos="1560"/>
        </w:tabs>
        <w:spacing w:after="0" w:line="240" w:lineRule="auto"/>
        <w:ind w:firstLine="851"/>
        <w:jc w:val="both"/>
        <w:rPr>
          <w:rFonts w:ascii="Times New Roman" w:hAnsi="Times New Roman" w:cs="Times New Roman"/>
          <w:sz w:val="24"/>
          <w:szCs w:val="24"/>
        </w:rPr>
      </w:pPr>
    </w:p>
    <w:p w14:paraId="64C130C7" w14:textId="0A86CD39" w:rsidR="00492700" w:rsidRPr="00E436D7" w:rsidRDefault="00492700" w:rsidP="00294A8A">
      <w:pPr>
        <w:tabs>
          <w:tab w:val="left" w:pos="1560"/>
        </w:tabs>
        <w:spacing w:after="0" w:line="240" w:lineRule="auto"/>
        <w:jc w:val="both"/>
        <w:rPr>
          <w:rFonts w:ascii="Times New Roman" w:hAnsi="Times New Roman" w:cs="Times New Roman"/>
          <w:b/>
          <w:sz w:val="24"/>
          <w:szCs w:val="24"/>
          <w:u w:val="single"/>
        </w:rPr>
      </w:pPr>
      <w:r w:rsidRPr="00E436D7">
        <w:rPr>
          <w:rFonts w:ascii="Times New Roman" w:hAnsi="Times New Roman" w:cs="Times New Roman"/>
          <w:b/>
          <w:sz w:val="24"/>
          <w:szCs w:val="24"/>
          <w:u w:val="single"/>
        </w:rPr>
        <w:t xml:space="preserve">Quant au </w:t>
      </w:r>
      <w:r w:rsidR="00294A8A" w:rsidRPr="00E436D7">
        <w:rPr>
          <w:rFonts w:ascii="Times New Roman" w:hAnsi="Times New Roman" w:cs="Times New Roman"/>
          <w:b/>
          <w:sz w:val="24"/>
          <w:szCs w:val="24"/>
          <w:u w:val="single"/>
        </w:rPr>
        <w:t>« </w:t>
      </w:r>
      <w:r w:rsidRPr="00E436D7">
        <w:rPr>
          <w:rFonts w:ascii="Times New Roman" w:hAnsi="Times New Roman" w:cs="Times New Roman"/>
          <w:b/>
          <w:i/>
          <w:sz w:val="24"/>
          <w:szCs w:val="24"/>
          <w:u w:val="single"/>
        </w:rPr>
        <w:t>lézard ocellé</w:t>
      </w:r>
      <w:r w:rsidR="00294A8A" w:rsidRPr="00E436D7">
        <w:rPr>
          <w:rFonts w:ascii="Times New Roman" w:hAnsi="Times New Roman" w:cs="Times New Roman"/>
          <w:b/>
          <w:sz w:val="24"/>
          <w:szCs w:val="24"/>
          <w:u w:val="single"/>
        </w:rPr>
        <w:t> »</w:t>
      </w:r>
      <w:r w:rsidRPr="00E436D7">
        <w:rPr>
          <w:rFonts w:ascii="Times New Roman" w:hAnsi="Times New Roman" w:cs="Times New Roman"/>
          <w:b/>
          <w:sz w:val="24"/>
          <w:szCs w:val="24"/>
          <w:u w:val="single"/>
        </w:rPr>
        <w:t xml:space="preserve"> : </w:t>
      </w:r>
    </w:p>
    <w:p w14:paraId="77878EF9" w14:textId="1157F6BB" w:rsidR="00492700" w:rsidRDefault="00492700" w:rsidP="005C0D0C">
      <w:pPr>
        <w:tabs>
          <w:tab w:val="left" w:pos="1560"/>
        </w:tabs>
        <w:spacing w:after="0" w:line="240" w:lineRule="auto"/>
        <w:ind w:firstLine="851"/>
        <w:jc w:val="both"/>
        <w:rPr>
          <w:rFonts w:ascii="Times New Roman" w:hAnsi="Times New Roman" w:cs="Times New Roman"/>
          <w:sz w:val="24"/>
          <w:szCs w:val="24"/>
          <w:u w:val="single"/>
        </w:rPr>
      </w:pPr>
    </w:p>
    <w:p w14:paraId="35C7EDFD" w14:textId="16008C4D" w:rsidR="007861FB" w:rsidRDefault="00775E12" w:rsidP="00706501">
      <w:pPr>
        <w:tabs>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32</w:t>
      </w:r>
      <w:r w:rsidR="00492700" w:rsidRPr="009830C9">
        <w:rPr>
          <w:rFonts w:ascii="Times New Roman" w:hAnsi="Times New Roman" w:cs="Times New Roman"/>
          <w:sz w:val="24"/>
          <w:szCs w:val="24"/>
        </w:rPr>
        <w:t xml:space="preserve">. </w:t>
      </w:r>
      <w:r w:rsidR="00E436D7">
        <w:rPr>
          <w:rFonts w:ascii="Times New Roman" w:hAnsi="Times New Roman" w:cs="Times New Roman"/>
          <w:sz w:val="24"/>
          <w:szCs w:val="24"/>
        </w:rPr>
        <w:t>A</w:t>
      </w:r>
      <w:r w:rsidR="008D304C">
        <w:rPr>
          <w:rFonts w:ascii="Times New Roman" w:hAnsi="Times New Roman" w:cs="Times New Roman"/>
          <w:sz w:val="24"/>
          <w:szCs w:val="24"/>
        </w:rPr>
        <w:t>ins</w:t>
      </w:r>
      <w:r w:rsidR="00294A8A">
        <w:rPr>
          <w:rFonts w:ascii="Times New Roman" w:hAnsi="Times New Roman" w:cs="Times New Roman"/>
          <w:sz w:val="24"/>
          <w:szCs w:val="24"/>
        </w:rPr>
        <w:t>i que cela a été dit au point 30</w:t>
      </w:r>
      <w:r w:rsidR="008D304C">
        <w:rPr>
          <w:rFonts w:ascii="Times New Roman" w:hAnsi="Times New Roman" w:cs="Times New Roman"/>
          <w:sz w:val="24"/>
          <w:szCs w:val="24"/>
        </w:rPr>
        <w:t xml:space="preserve"> de ce jugement s’agissant de </w:t>
      </w:r>
      <w:r w:rsidR="008D304C" w:rsidRPr="008D304C">
        <w:rPr>
          <w:rFonts w:ascii="Times New Roman" w:hAnsi="Times New Roman" w:cs="Times New Roman"/>
          <w:sz w:val="24"/>
          <w:szCs w:val="24"/>
        </w:rPr>
        <w:t>l’inventaire entomologique</w:t>
      </w:r>
      <w:r w:rsidR="008D304C">
        <w:rPr>
          <w:rFonts w:ascii="Times New Roman" w:hAnsi="Times New Roman" w:cs="Times New Roman"/>
          <w:sz w:val="24"/>
          <w:szCs w:val="24"/>
        </w:rPr>
        <w:t>, il ne ressort d’aucune pièce du dossier que, comme le soutient l’association requér</w:t>
      </w:r>
      <w:r w:rsidR="00706501">
        <w:rPr>
          <w:rFonts w:ascii="Times New Roman" w:hAnsi="Times New Roman" w:cs="Times New Roman"/>
          <w:sz w:val="24"/>
          <w:szCs w:val="24"/>
        </w:rPr>
        <w:t>ante, les opérations destinées à analyser</w:t>
      </w:r>
      <w:r w:rsidR="008D304C">
        <w:rPr>
          <w:rFonts w:ascii="Times New Roman" w:hAnsi="Times New Roman" w:cs="Times New Roman"/>
          <w:sz w:val="24"/>
          <w:szCs w:val="24"/>
        </w:rPr>
        <w:t xml:space="preserve"> la présence sur le terrain d’assiette du projet du </w:t>
      </w:r>
      <w:r w:rsidR="00294A8A">
        <w:rPr>
          <w:rFonts w:ascii="Times New Roman" w:hAnsi="Times New Roman" w:cs="Times New Roman"/>
          <w:sz w:val="24"/>
          <w:szCs w:val="24"/>
        </w:rPr>
        <w:t>« </w:t>
      </w:r>
      <w:r w:rsidR="008D304C" w:rsidRPr="00294A8A">
        <w:rPr>
          <w:rFonts w:ascii="Times New Roman" w:hAnsi="Times New Roman" w:cs="Times New Roman"/>
          <w:i/>
          <w:sz w:val="24"/>
          <w:szCs w:val="24"/>
        </w:rPr>
        <w:t>lézard ocellé</w:t>
      </w:r>
      <w:r w:rsidR="00294A8A">
        <w:rPr>
          <w:rFonts w:ascii="Times New Roman" w:hAnsi="Times New Roman" w:cs="Times New Roman"/>
          <w:i/>
          <w:sz w:val="24"/>
          <w:szCs w:val="24"/>
        </w:rPr>
        <w:t> </w:t>
      </w:r>
      <w:r w:rsidR="00294A8A" w:rsidRPr="00294A8A">
        <w:rPr>
          <w:rFonts w:ascii="Times New Roman" w:hAnsi="Times New Roman" w:cs="Times New Roman"/>
          <w:sz w:val="24"/>
          <w:szCs w:val="24"/>
        </w:rPr>
        <w:t>»</w:t>
      </w:r>
      <w:r w:rsidR="008D304C">
        <w:rPr>
          <w:rFonts w:ascii="Times New Roman" w:hAnsi="Times New Roman" w:cs="Times New Roman"/>
          <w:sz w:val="24"/>
          <w:szCs w:val="24"/>
        </w:rPr>
        <w:t xml:space="preserve"> n’aurai</w:t>
      </w:r>
      <w:r w:rsidR="00706501">
        <w:rPr>
          <w:rFonts w:ascii="Times New Roman" w:hAnsi="Times New Roman" w:cs="Times New Roman"/>
          <w:sz w:val="24"/>
          <w:szCs w:val="24"/>
        </w:rPr>
        <w:t>en</w:t>
      </w:r>
      <w:r w:rsidR="008D304C">
        <w:rPr>
          <w:rFonts w:ascii="Times New Roman" w:hAnsi="Times New Roman" w:cs="Times New Roman"/>
          <w:sz w:val="24"/>
          <w:szCs w:val="24"/>
        </w:rPr>
        <w:t xml:space="preserve">t pas été effectuées au cours des périodes optimales pour détecter une telle présence alors </w:t>
      </w:r>
      <w:r w:rsidR="000173D7">
        <w:rPr>
          <w:rFonts w:ascii="Times New Roman" w:hAnsi="Times New Roman" w:cs="Times New Roman"/>
          <w:sz w:val="24"/>
          <w:szCs w:val="24"/>
        </w:rPr>
        <w:t xml:space="preserve">même qu’il ressort des termes de l’étude d’impact qu’un inventaire spécifiquement dédié à la recherche d’une telle espèce a été réalisé durant un cycle complet entre l’automne 2019 et l’été 2020 selon le protocole de la société « Herpétologique de France » développé dans le plan national d’action de 2012-2016 consacré à ladite espèce. La seule circonstance que ces opérations n’ont pas pu </w:t>
      </w:r>
      <w:r w:rsidR="0048611B">
        <w:rPr>
          <w:rFonts w:ascii="Times New Roman" w:hAnsi="Times New Roman" w:cs="Times New Roman"/>
          <w:sz w:val="24"/>
          <w:szCs w:val="24"/>
        </w:rPr>
        <w:t>conclure</w:t>
      </w:r>
      <w:r w:rsidR="000173D7">
        <w:rPr>
          <w:rFonts w:ascii="Times New Roman" w:hAnsi="Times New Roman" w:cs="Times New Roman"/>
          <w:sz w:val="24"/>
          <w:szCs w:val="24"/>
        </w:rPr>
        <w:t xml:space="preserve"> à sa présence sur le secteur d’étude ne saurait,</w:t>
      </w:r>
      <w:r w:rsidR="0048611B">
        <w:rPr>
          <w:rFonts w:ascii="Times New Roman" w:hAnsi="Times New Roman" w:cs="Times New Roman"/>
          <w:sz w:val="24"/>
          <w:szCs w:val="24"/>
        </w:rPr>
        <w:t xml:space="preserve"> à elle seule, démontrer que ces</w:t>
      </w:r>
      <w:r w:rsidR="000173D7">
        <w:rPr>
          <w:rFonts w:ascii="Times New Roman" w:hAnsi="Times New Roman" w:cs="Times New Roman"/>
          <w:sz w:val="24"/>
          <w:szCs w:val="24"/>
        </w:rPr>
        <w:t xml:space="preserve"> opérations n’ont pas été correctement réalisées. En outre, </w:t>
      </w:r>
      <w:r w:rsidR="000173D7" w:rsidRPr="000173D7">
        <w:rPr>
          <w:rFonts w:ascii="Times New Roman" w:hAnsi="Times New Roman" w:cs="Times New Roman"/>
          <w:sz w:val="24"/>
          <w:szCs w:val="24"/>
        </w:rPr>
        <w:t xml:space="preserve">si la présence du </w:t>
      </w:r>
      <w:r w:rsidR="00294A8A">
        <w:rPr>
          <w:rFonts w:ascii="Times New Roman" w:hAnsi="Times New Roman" w:cs="Times New Roman"/>
          <w:sz w:val="24"/>
          <w:szCs w:val="24"/>
        </w:rPr>
        <w:t>« </w:t>
      </w:r>
      <w:r w:rsidR="000173D7" w:rsidRPr="00294A8A">
        <w:rPr>
          <w:rFonts w:ascii="Times New Roman" w:hAnsi="Times New Roman" w:cs="Times New Roman"/>
          <w:i/>
          <w:sz w:val="24"/>
          <w:szCs w:val="24"/>
        </w:rPr>
        <w:t>lézard ocellé</w:t>
      </w:r>
      <w:r w:rsidR="00294A8A">
        <w:rPr>
          <w:rFonts w:ascii="Times New Roman" w:hAnsi="Times New Roman" w:cs="Times New Roman"/>
          <w:sz w:val="24"/>
          <w:szCs w:val="24"/>
        </w:rPr>
        <w:t> »</w:t>
      </w:r>
      <w:r w:rsidR="000173D7" w:rsidRPr="000173D7">
        <w:rPr>
          <w:rFonts w:ascii="Times New Roman" w:hAnsi="Times New Roman" w:cs="Times New Roman"/>
          <w:sz w:val="24"/>
          <w:szCs w:val="24"/>
        </w:rPr>
        <w:t xml:space="preserve"> n’a pas pu être avérée </w:t>
      </w:r>
      <w:r w:rsidR="00894C1E">
        <w:rPr>
          <w:rFonts w:ascii="Times New Roman" w:hAnsi="Times New Roman" w:cs="Times New Roman"/>
          <w:sz w:val="24"/>
          <w:szCs w:val="24"/>
        </w:rPr>
        <w:t xml:space="preserve">sur le secteur d’implantation du projet autorisé par le permis de construire attaqué </w:t>
      </w:r>
      <w:r w:rsidR="000173D7" w:rsidRPr="000173D7">
        <w:rPr>
          <w:rFonts w:ascii="Times New Roman" w:hAnsi="Times New Roman" w:cs="Times New Roman"/>
          <w:sz w:val="24"/>
          <w:szCs w:val="24"/>
        </w:rPr>
        <w:t xml:space="preserve">lors </w:t>
      </w:r>
      <w:r w:rsidR="000173D7">
        <w:rPr>
          <w:rFonts w:ascii="Times New Roman" w:hAnsi="Times New Roman" w:cs="Times New Roman"/>
          <w:sz w:val="24"/>
          <w:szCs w:val="24"/>
        </w:rPr>
        <w:t>des différents inventaires réalisés</w:t>
      </w:r>
      <w:r w:rsidR="000173D7" w:rsidRPr="000173D7">
        <w:rPr>
          <w:rFonts w:ascii="Times New Roman" w:hAnsi="Times New Roman" w:cs="Times New Roman"/>
          <w:sz w:val="24"/>
          <w:szCs w:val="24"/>
        </w:rPr>
        <w:t xml:space="preserve">, </w:t>
      </w:r>
      <w:r w:rsidR="000173D7">
        <w:rPr>
          <w:rFonts w:ascii="Times New Roman" w:hAnsi="Times New Roman" w:cs="Times New Roman"/>
          <w:sz w:val="24"/>
          <w:szCs w:val="24"/>
        </w:rPr>
        <w:t>il est constant</w:t>
      </w:r>
      <w:r w:rsidR="00294A8A">
        <w:rPr>
          <w:rFonts w:ascii="Times New Roman" w:hAnsi="Times New Roman" w:cs="Times New Roman"/>
          <w:sz w:val="24"/>
          <w:szCs w:val="24"/>
        </w:rPr>
        <w:t xml:space="preserve"> que l’étude d’impact litigieuse </w:t>
      </w:r>
      <w:r w:rsidR="00706501">
        <w:rPr>
          <w:rFonts w:ascii="Times New Roman" w:hAnsi="Times New Roman" w:cs="Times New Roman"/>
          <w:sz w:val="24"/>
          <w:szCs w:val="24"/>
        </w:rPr>
        <w:t>a</w:t>
      </w:r>
      <w:r w:rsidR="0048611B">
        <w:rPr>
          <w:rFonts w:ascii="Times New Roman" w:hAnsi="Times New Roman" w:cs="Times New Roman"/>
          <w:sz w:val="24"/>
          <w:szCs w:val="24"/>
        </w:rPr>
        <w:t xml:space="preserve"> </w:t>
      </w:r>
      <w:r w:rsidR="000173D7">
        <w:rPr>
          <w:rFonts w:ascii="Times New Roman" w:hAnsi="Times New Roman" w:cs="Times New Roman"/>
          <w:sz w:val="24"/>
          <w:szCs w:val="24"/>
        </w:rPr>
        <w:t>jugé</w:t>
      </w:r>
      <w:r w:rsidR="000173D7" w:rsidRPr="000173D7">
        <w:rPr>
          <w:rFonts w:ascii="Times New Roman" w:hAnsi="Times New Roman" w:cs="Times New Roman"/>
          <w:sz w:val="24"/>
          <w:szCs w:val="24"/>
        </w:rPr>
        <w:t xml:space="preserve"> </w:t>
      </w:r>
      <w:r w:rsidR="000173D7">
        <w:rPr>
          <w:rFonts w:ascii="Times New Roman" w:hAnsi="Times New Roman" w:cs="Times New Roman"/>
          <w:sz w:val="24"/>
          <w:szCs w:val="24"/>
        </w:rPr>
        <w:t xml:space="preserve">sa présence comme </w:t>
      </w:r>
      <w:r w:rsidR="000173D7" w:rsidRPr="000173D7">
        <w:rPr>
          <w:rFonts w:ascii="Times New Roman" w:hAnsi="Times New Roman" w:cs="Times New Roman"/>
          <w:sz w:val="24"/>
          <w:szCs w:val="24"/>
        </w:rPr>
        <w:t xml:space="preserve">fortement </w:t>
      </w:r>
      <w:r w:rsidR="000173D7">
        <w:rPr>
          <w:rFonts w:ascii="Times New Roman" w:hAnsi="Times New Roman" w:cs="Times New Roman"/>
          <w:sz w:val="24"/>
          <w:szCs w:val="24"/>
        </w:rPr>
        <w:t>probable sur des secteurs plus propices</w:t>
      </w:r>
      <w:r w:rsidR="00706501">
        <w:rPr>
          <w:rFonts w:ascii="Times New Roman" w:hAnsi="Times New Roman" w:cs="Times New Roman"/>
          <w:sz w:val="24"/>
          <w:szCs w:val="24"/>
        </w:rPr>
        <w:t xml:space="preserve"> que celui du projet</w:t>
      </w:r>
      <w:r w:rsidR="000173D7">
        <w:rPr>
          <w:rFonts w:ascii="Times New Roman" w:hAnsi="Times New Roman" w:cs="Times New Roman"/>
          <w:sz w:val="24"/>
          <w:szCs w:val="24"/>
        </w:rPr>
        <w:t xml:space="preserve"> au regard de l’analyse des habitats et des aires d’études immédiates et rapproch</w:t>
      </w:r>
      <w:r w:rsidR="0048611B">
        <w:rPr>
          <w:rFonts w:ascii="Times New Roman" w:hAnsi="Times New Roman" w:cs="Times New Roman"/>
          <w:sz w:val="24"/>
          <w:szCs w:val="24"/>
        </w:rPr>
        <w:t xml:space="preserve">ées tels que les coteaux du massif du Mont </w:t>
      </w:r>
      <w:proofErr w:type="spellStart"/>
      <w:r w:rsidR="0048611B">
        <w:rPr>
          <w:rFonts w:ascii="Times New Roman" w:hAnsi="Times New Roman" w:cs="Times New Roman"/>
          <w:sz w:val="24"/>
          <w:szCs w:val="24"/>
        </w:rPr>
        <w:t>Arpasse</w:t>
      </w:r>
      <w:proofErr w:type="spellEnd"/>
      <w:r w:rsidR="0048611B">
        <w:rPr>
          <w:rFonts w:ascii="Times New Roman" w:hAnsi="Times New Roman" w:cs="Times New Roman"/>
          <w:sz w:val="24"/>
          <w:szCs w:val="24"/>
        </w:rPr>
        <w:t>, plus bas en altitude, à</w:t>
      </w:r>
      <w:r w:rsidR="00294A8A">
        <w:rPr>
          <w:rFonts w:ascii="Times New Roman" w:hAnsi="Times New Roman" w:cs="Times New Roman"/>
          <w:sz w:val="24"/>
          <w:szCs w:val="24"/>
        </w:rPr>
        <w:t xml:space="preserve"> plus fort pouvoir calorifique </w:t>
      </w:r>
      <w:r w:rsidR="0048611B">
        <w:rPr>
          <w:rFonts w:ascii="Times New Roman" w:hAnsi="Times New Roman" w:cs="Times New Roman"/>
          <w:sz w:val="24"/>
          <w:szCs w:val="24"/>
        </w:rPr>
        <w:t>et moins exposés au vent</w:t>
      </w:r>
      <w:r w:rsidR="000173D7">
        <w:rPr>
          <w:rFonts w:ascii="Times New Roman" w:hAnsi="Times New Roman" w:cs="Times New Roman"/>
          <w:sz w:val="24"/>
          <w:szCs w:val="24"/>
        </w:rPr>
        <w:t xml:space="preserve"> </w:t>
      </w:r>
      <w:r w:rsidR="00294A8A">
        <w:rPr>
          <w:rFonts w:ascii="Times New Roman" w:hAnsi="Times New Roman" w:cs="Times New Roman"/>
          <w:sz w:val="24"/>
          <w:szCs w:val="24"/>
        </w:rPr>
        <w:t xml:space="preserve">ainsi qu’au regard </w:t>
      </w:r>
      <w:r w:rsidR="000173D7">
        <w:rPr>
          <w:rFonts w:ascii="Times New Roman" w:hAnsi="Times New Roman" w:cs="Times New Roman"/>
          <w:sz w:val="24"/>
          <w:szCs w:val="24"/>
        </w:rPr>
        <w:t>des précédentes études et des informations transmises par les habitants de ces secteurs.</w:t>
      </w:r>
      <w:r w:rsidR="0048611B">
        <w:rPr>
          <w:rFonts w:ascii="Times New Roman" w:hAnsi="Times New Roman" w:cs="Times New Roman"/>
          <w:sz w:val="24"/>
          <w:szCs w:val="24"/>
        </w:rPr>
        <w:t xml:space="preserve"> Dans ces conditions, en qualifiant</w:t>
      </w:r>
      <w:r w:rsidR="00CF1097">
        <w:rPr>
          <w:rFonts w:ascii="Times New Roman" w:hAnsi="Times New Roman" w:cs="Times New Roman"/>
          <w:sz w:val="24"/>
          <w:szCs w:val="24"/>
        </w:rPr>
        <w:t xml:space="preserve">, s’agissant du </w:t>
      </w:r>
      <w:r w:rsidR="00294A8A">
        <w:rPr>
          <w:rFonts w:ascii="Times New Roman" w:hAnsi="Times New Roman" w:cs="Times New Roman"/>
          <w:sz w:val="24"/>
          <w:szCs w:val="24"/>
        </w:rPr>
        <w:t>« </w:t>
      </w:r>
      <w:r w:rsidR="00CF1097" w:rsidRPr="00294A8A">
        <w:rPr>
          <w:rFonts w:ascii="Times New Roman" w:hAnsi="Times New Roman" w:cs="Times New Roman"/>
          <w:i/>
          <w:sz w:val="24"/>
          <w:szCs w:val="24"/>
        </w:rPr>
        <w:t>lézard ocellé</w:t>
      </w:r>
      <w:r w:rsidR="00294A8A">
        <w:rPr>
          <w:rFonts w:ascii="Times New Roman" w:hAnsi="Times New Roman" w:cs="Times New Roman"/>
          <w:sz w:val="24"/>
          <w:szCs w:val="24"/>
        </w:rPr>
        <w:t> »</w:t>
      </w:r>
      <w:r w:rsidR="00CF1097">
        <w:rPr>
          <w:rFonts w:ascii="Times New Roman" w:hAnsi="Times New Roman" w:cs="Times New Roman"/>
          <w:sz w:val="24"/>
          <w:szCs w:val="24"/>
        </w:rPr>
        <w:t>, espèce protégée,</w:t>
      </w:r>
      <w:r w:rsidR="0048611B">
        <w:rPr>
          <w:rFonts w:ascii="Times New Roman" w:hAnsi="Times New Roman" w:cs="Times New Roman"/>
          <w:sz w:val="24"/>
          <w:szCs w:val="24"/>
        </w:rPr>
        <w:t xml:space="preserve"> les inci</w:t>
      </w:r>
      <w:r w:rsidR="00706501">
        <w:rPr>
          <w:rFonts w:ascii="Times New Roman" w:hAnsi="Times New Roman" w:cs="Times New Roman"/>
          <w:sz w:val="24"/>
          <w:szCs w:val="24"/>
        </w:rPr>
        <w:t>dences du projet comme « faible</w:t>
      </w:r>
      <w:r w:rsidR="00294A8A">
        <w:rPr>
          <w:rFonts w:ascii="Times New Roman" w:hAnsi="Times New Roman" w:cs="Times New Roman"/>
          <w:sz w:val="24"/>
          <w:szCs w:val="24"/>
        </w:rPr>
        <w:t> » s’agissant de l</w:t>
      </w:r>
      <w:r w:rsidR="0048611B">
        <w:rPr>
          <w:rFonts w:ascii="Times New Roman" w:hAnsi="Times New Roman" w:cs="Times New Roman"/>
          <w:sz w:val="24"/>
          <w:szCs w:val="24"/>
        </w:rPr>
        <w:t>a destruction, de l’altération ou de la dégradation de sites de reproduction ou d’aires de repo</w:t>
      </w:r>
      <w:r w:rsidR="00CF1097">
        <w:rPr>
          <w:rFonts w:ascii="Times New Roman" w:hAnsi="Times New Roman" w:cs="Times New Roman"/>
          <w:sz w:val="24"/>
          <w:szCs w:val="24"/>
        </w:rPr>
        <w:t>s (</w:t>
      </w:r>
      <w:r w:rsidR="00CF1097" w:rsidRPr="00294A8A">
        <w:rPr>
          <w:rFonts w:ascii="Times New Roman" w:hAnsi="Times New Roman" w:cs="Times New Roman"/>
          <w:i/>
          <w:sz w:val="24"/>
          <w:szCs w:val="24"/>
        </w:rPr>
        <w:t>page 402</w:t>
      </w:r>
      <w:r w:rsidR="00CF1097">
        <w:rPr>
          <w:rFonts w:ascii="Times New Roman" w:hAnsi="Times New Roman" w:cs="Times New Roman"/>
          <w:sz w:val="24"/>
          <w:szCs w:val="24"/>
        </w:rPr>
        <w:t xml:space="preserve">), l’étude d’impact litigieuse ne saurait être regardée, à cet égard, comme étant insuffisante. </w:t>
      </w:r>
    </w:p>
    <w:p w14:paraId="3FE3396D" w14:textId="77777777" w:rsidR="007861FB" w:rsidRDefault="007861FB" w:rsidP="0048611B">
      <w:pPr>
        <w:tabs>
          <w:tab w:val="left" w:pos="1560"/>
        </w:tabs>
        <w:spacing w:after="0" w:line="240" w:lineRule="auto"/>
        <w:ind w:firstLine="851"/>
        <w:jc w:val="both"/>
        <w:rPr>
          <w:rFonts w:ascii="Times New Roman" w:hAnsi="Times New Roman" w:cs="Times New Roman"/>
          <w:sz w:val="24"/>
          <w:szCs w:val="24"/>
        </w:rPr>
      </w:pPr>
    </w:p>
    <w:p w14:paraId="245D721A" w14:textId="713D0E8C" w:rsidR="007861FB" w:rsidRPr="00E436D7" w:rsidRDefault="00CE5594" w:rsidP="00894C1E">
      <w:pPr>
        <w:tabs>
          <w:tab w:val="left" w:pos="1560"/>
        </w:tabs>
        <w:spacing w:after="0" w:line="240" w:lineRule="auto"/>
        <w:jc w:val="both"/>
        <w:rPr>
          <w:rFonts w:ascii="Times New Roman" w:hAnsi="Times New Roman" w:cs="Times New Roman"/>
          <w:b/>
          <w:sz w:val="24"/>
          <w:szCs w:val="24"/>
        </w:rPr>
      </w:pPr>
      <w:r w:rsidRPr="00E436D7">
        <w:rPr>
          <w:rFonts w:ascii="Times New Roman" w:hAnsi="Times New Roman" w:cs="Times New Roman"/>
          <w:b/>
          <w:sz w:val="24"/>
          <w:szCs w:val="24"/>
          <w:u w:val="single"/>
        </w:rPr>
        <w:t>Quant</w:t>
      </w:r>
      <w:r w:rsidR="007861FB" w:rsidRPr="00E436D7">
        <w:rPr>
          <w:rFonts w:ascii="Times New Roman" w:hAnsi="Times New Roman" w:cs="Times New Roman"/>
          <w:b/>
          <w:sz w:val="24"/>
          <w:szCs w:val="24"/>
          <w:u w:val="single"/>
        </w:rPr>
        <w:t xml:space="preserve"> à l’avifaune</w:t>
      </w:r>
      <w:r w:rsidR="007861FB" w:rsidRPr="00E436D7">
        <w:rPr>
          <w:rFonts w:ascii="Times New Roman" w:hAnsi="Times New Roman" w:cs="Times New Roman"/>
          <w:b/>
          <w:sz w:val="24"/>
          <w:szCs w:val="24"/>
        </w:rPr>
        <w:t> :</w:t>
      </w:r>
    </w:p>
    <w:p w14:paraId="4E63FEB4" w14:textId="22161C6F" w:rsidR="002D706F" w:rsidRDefault="002D706F" w:rsidP="007861FB">
      <w:pPr>
        <w:tabs>
          <w:tab w:val="left" w:pos="1560"/>
        </w:tabs>
        <w:spacing w:after="0" w:line="240" w:lineRule="auto"/>
        <w:ind w:firstLine="851"/>
        <w:jc w:val="both"/>
        <w:rPr>
          <w:rFonts w:ascii="Times New Roman" w:hAnsi="Times New Roman" w:cs="Times New Roman"/>
          <w:sz w:val="24"/>
          <w:szCs w:val="24"/>
        </w:rPr>
      </w:pPr>
    </w:p>
    <w:p w14:paraId="222C244D" w14:textId="6EB98DAB" w:rsidR="00CB5369" w:rsidRDefault="00775E12" w:rsidP="00CB5369">
      <w:pPr>
        <w:tabs>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33</w:t>
      </w:r>
      <w:r w:rsidR="002D706F">
        <w:rPr>
          <w:rFonts w:ascii="Times New Roman" w:hAnsi="Times New Roman" w:cs="Times New Roman"/>
          <w:sz w:val="24"/>
          <w:szCs w:val="24"/>
        </w:rPr>
        <w:t>.</w:t>
      </w:r>
      <w:r w:rsidR="006662A1">
        <w:rPr>
          <w:rFonts w:ascii="Times New Roman" w:hAnsi="Times New Roman" w:cs="Times New Roman"/>
          <w:sz w:val="24"/>
          <w:szCs w:val="24"/>
        </w:rPr>
        <w:t xml:space="preserve"> </w:t>
      </w:r>
      <w:r w:rsidR="00E436D7">
        <w:rPr>
          <w:rFonts w:ascii="Times New Roman" w:hAnsi="Times New Roman" w:cs="Times New Roman"/>
          <w:sz w:val="24"/>
          <w:szCs w:val="24"/>
        </w:rPr>
        <w:t>D</w:t>
      </w:r>
      <w:r w:rsidR="003F6954">
        <w:rPr>
          <w:rFonts w:ascii="Times New Roman" w:hAnsi="Times New Roman" w:cs="Times New Roman"/>
          <w:sz w:val="24"/>
          <w:szCs w:val="24"/>
        </w:rPr>
        <w:t>’une part, la seule circonstance invoquée par l’association requérante selon laquelle l’inventaire ornithologique n’aurait pas permis de répertorier certaines espèces d’oiseaux, dont certaines protégées, pour lesquelles les habitats présents sur le secteur du projet litigieux sont particulièrement favorables ne permet</w:t>
      </w:r>
      <w:r w:rsidR="00706501">
        <w:rPr>
          <w:rFonts w:ascii="Times New Roman" w:hAnsi="Times New Roman" w:cs="Times New Roman"/>
          <w:sz w:val="24"/>
          <w:szCs w:val="24"/>
        </w:rPr>
        <w:t xml:space="preserve"> pas, à elle seule, </w:t>
      </w:r>
      <w:r w:rsidR="003F6954">
        <w:rPr>
          <w:rFonts w:ascii="Times New Roman" w:hAnsi="Times New Roman" w:cs="Times New Roman"/>
          <w:sz w:val="24"/>
          <w:szCs w:val="24"/>
        </w:rPr>
        <w:t xml:space="preserve">de démontrer que cet inventaire présente des insuffisances. En outre, si à l’appui d’une telle allégation, l’association fournit des extraits du site « Faune PACA » </w:t>
      </w:r>
      <w:r w:rsidR="00894C1E">
        <w:rPr>
          <w:rFonts w:ascii="Times New Roman" w:hAnsi="Times New Roman" w:cs="Times New Roman"/>
          <w:sz w:val="24"/>
          <w:szCs w:val="24"/>
        </w:rPr>
        <w:t>justifiant</w:t>
      </w:r>
      <w:r w:rsidR="003F6954">
        <w:rPr>
          <w:rFonts w:ascii="Times New Roman" w:hAnsi="Times New Roman" w:cs="Times New Roman"/>
          <w:sz w:val="24"/>
          <w:szCs w:val="24"/>
        </w:rPr>
        <w:t xml:space="preserve">, selon elle, </w:t>
      </w:r>
      <w:r w:rsidR="00894C1E">
        <w:rPr>
          <w:rFonts w:ascii="Times New Roman" w:hAnsi="Times New Roman" w:cs="Times New Roman"/>
          <w:sz w:val="24"/>
          <w:szCs w:val="24"/>
        </w:rPr>
        <w:t xml:space="preserve">de </w:t>
      </w:r>
      <w:r w:rsidR="003F6954">
        <w:rPr>
          <w:rFonts w:ascii="Times New Roman" w:hAnsi="Times New Roman" w:cs="Times New Roman"/>
          <w:sz w:val="24"/>
          <w:szCs w:val="24"/>
        </w:rPr>
        <w:t>la présence sur le site litigieux, de onze espèces qui n’ont pas été répertoriées dans l’étude d’impa</w:t>
      </w:r>
      <w:r w:rsidR="00CB5369">
        <w:rPr>
          <w:rFonts w:ascii="Times New Roman" w:hAnsi="Times New Roman" w:cs="Times New Roman"/>
          <w:sz w:val="24"/>
          <w:szCs w:val="24"/>
        </w:rPr>
        <w:t xml:space="preserve">ct litigieuse, de tels extraits </w:t>
      </w:r>
      <w:r w:rsidR="00CB5369" w:rsidRPr="00CB5369">
        <w:rPr>
          <w:rFonts w:ascii="Times New Roman" w:hAnsi="Times New Roman" w:cs="Times New Roman"/>
          <w:sz w:val="24"/>
          <w:szCs w:val="24"/>
        </w:rPr>
        <w:t>issus d’un site géré par l’association requérante elle-même</w:t>
      </w:r>
      <w:r w:rsidR="00CB5369">
        <w:rPr>
          <w:rFonts w:ascii="Times New Roman" w:hAnsi="Times New Roman" w:cs="Times New Roman"/>
          <w:sz w:val="24"/>
          <w:szCs w:val="24"/>
        </w:rPr>
        <w:t xml:space="preserve"> et provenant notamment de contributeurs amateurs qui ne démontre</w:t>
      </w:r>
      <w:r w:rsidR="00894C1E">
        <w:rPr>
          <w:rFonts w:ascii="Times New Roman" w:hAnsi="Times New Roman" w:cs="Times New Roman"/>
          <w:sz w:val="24"/>
          <w:szCs w:val="24"/>
        </w:rPr>
        <w:t>nt</w:t>
      </w:r>
      <w:r w:rsidR="00CB5369">
        <w:rPr>
          <w:rFonts w:ascii="Times New Roman" w:hAnsi="Times New Roman" w:cs="Times New Roman"/>
          <w:sz w:val="24"/>
          <w:szCs w:val="24"/>
        </w:rPr>
        <w:t xml:space="preserve"> au demeurant pas la présence effective de ces espèces </w:t>
      </w:r>
      <w:r w:rsidR="00CB5369">
        <w:rPr>
          <w:rFonts w:ascii="Times New Roman" w:hAnsi="Times New Roman" w:cs="Times New Roman"/>
          <w:sz w:val="24"/>
          <w:szCs w:val="24"/>
        </w:rPr>
        <w:lastRenderedPageBreak/>
        <w:t>sur ledit site, ne saurai</w:t>
      </w:r>
      <w:r w:rsidR="00706501">
        <w:rPr>
          <w:rFonts w:ascii="Times New Roman" w:hAnsi="Times New Roman" w:cs="Times New Roman"/>
          <w:sz w:val="24"/>
          <w:szCs w:val="24"/>
        </w:rPr>
        <w:t>en</w:t>
      </w:r>
      <w:r w:rsidR="00CB5369">
        <w:rPr>
          <w:rFonts w:ascii="Times New Roman" w:hAnsi="Times New Roman" w:cs="Times New Roman"/>
          <w:sz w:val="24"/>
          <w:szCs w:val="24"/>
        </w:rPr>
        <w:t>t être regardés comme remettant utilement en cause les données et analyse</w:t>
      </w:r>
      <w:r w:rsidR="00894C1E">
        <w:rPr>
          <w:rFonts w:ascii="Times New Roman" w:hAnsi="Times New Roman" w:cs="Times New Roman"/>
          <w:sz w:val="24"/>
          <w:szCs w:val="24"/>
        </w:rPr>
        <w:t>s</w:t>
      </w:r>
      <w:r w:rsidR="00CB5369">
        <w:rPr>
          <w:rFonts w:ascii="Times New Roman" w:hAnsi="Times New Roman" w:cs="Times New Roman"/>
          <w:sz w:val="24"/>
          <w:szCs w:val="24"/>
        </w:rPr>
        <w:t xml:space="preserve">, en la matière, de l’étude d’impact. </w:t>
      </w:r>
    </w:p>
    <w:p w14:paraId="417C37AF" w14:textId="27730D5D" w:rsidR="00CB5369" w:rsidRDefault="00CB5369" w:rsidP="00CB5369">
      <w:pPr>
        <w:tabs>
          <w:tab w:val="left" w:pos="1560"/>
        </w:tabs>
        <w:spacing w:after="0" w:line="240" w:lineRule="auto"/>
        <w:ind w:firstLine="851"/>
        <w:jc w:val="both"/>
        <w:rPr>
          <w:rFonts w:ascii="Times New Roman" w:hAnsi="Times New Roman" w:cs="Times New Roman"/>
          <w:sz w:val="24"/>
          <w:szCs w:val="24"/>
        </w:rPr>
      </w:pPr>
    </w:p>
    <w:p w14:paraId="03D46C99" w14:textId="02F13BE6" w:rsidR="00CB5369" w:rsidRDefault="00775E12" w:rsidP="00CB5369">
      <w:pPr>
        <w:tabs>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34</w:t>
      </w:r>
      <w:r w:rsidR="00CB5369">
        <w:rPr>
          <w:rFonts w:ascii="Times New Roman" w:hAnsi="Times New Roman" w:cs="Times New Roman"/>
          <w:sz w:val="24"/>
          <w:szCs w:val="24"/>
        </w:rPr>
        <w:t>. D’autre part,</w:t>
      </w:r>
      <w:r w:rsidR="00892B52">
        <w:rPr>
          <w:rFonts w:ascii="Times New Roman" w:hAnsi="Times New Roman" w:cs="Times New Roman"/>
          <w:sz w:val="24"/>
          <w:szCs w:val="24"/>
        </w:rPr>
        <w:t xml:space="preserve"> l’association requérante ne saurait être regardée comme contestant utilement le caractère suffisant de l’étude d’impact s’agissant spécifiquement de l’espèce « </w:t>
      </w:r>
      <w:r w:rsidR="00892B52" w:rsidRPr="00894C1E">
        <w:rPr>
          <w:rFonts w:ascii="Times New Roman" w:hAnsi="Times New Roman" w:cs="Times New Roman"/>
          <w:i/>
          <w:sz w:val="24"/>
          <w:szCs w:val="24"/>
        </w:rPr>
        <w:t>Bruant ortolan</w:t>
      </w:r>
      <w:r w:rsidR="00892B52">
        <w:rPr>
          <w:rFonts w:ascii="Times New Roman" w:hAnsi="Times New Roman" w:cs="Times New Roman"/>
          <w:sz w:val="24"/>
          <w:szCs w:val="24"/>
        </w:rPr>
        <w:t> » dont aucun individu n’a été identifié</w:t>
      </w:r>
      <w:r w:rsidR="00521AC2">
        <w:rPr>
          <w:rFonts w:ascii="Times New Roman" w:hAnsi="Times New Roman" w:cs="Times New Roman"/>
          <w:sz w:val="24"/>
          <w:szCs w:val="24"/>
        </w:rPr>
        <w:t xml:space="preserve"> sur le site d’implantation du projet autorisé par le permis de construire attaqué</w:t>
      </w:r>
      <w:r w:rsidR="00892B52">
        <w:rPr>
          <w:rFonts w:ascii="Times New Roman" w:hAnsi="Times New Roman" w:cs="Times New Roman"/>
          <w:sz w:val="24"/>
          <w:szCs w:val="24"/>
        </w:rPr>
        <w:t xml:space="preserve"> pendant les inventaires dès lors qu’elle reconnait</w:t>
      </w:r>
      <w:r w:rsidR="00894C1E">
        <w:rPr>
          <w:rFonts w:ascii="Times New Roman" w:hAnsi="Times New Roman" w:cs="Times New Roman"/>
          <w:sz w:val="24"/>
          <w:szCs w:val="24"/>
        </w:rPr>
        <w:t>,</w:t>
      </w:r>
      <w:r w:rsidR="00892B52">
        <w:rPr>
          <w:rFonts w:ascii="Times New Roman" w:hAnsi="Times New Roman" w:cs="Times New Roman"/>
          <w:sz w:val="24"/>
          <w:szCs w:val="24"/>
        </w:rPr>
        <w:t xml:space="preserve"> elle-même, comme le développe l’étude d’impact litigieuse, que l’importante prolifération de la « </w:t>
      </w:r>
      <w:r w:rsidR="00892B52" w:rsidRPr="00894C1E">
        <w:rPr>
          <w:rFonts w:ascii="Times New Roman" w:hAnsi="Times New Roman" w:cs="Times New Roman"/>
          <w:i/>
          <w:sz w:val="24"/>
          <w:szCs w:val="24"/>
        </w:rPr>
        <w:t>Pyrale du Buis</w:t>
      </w:r>
      <w:r w:rsidR="00892B52">
        <w:rPr>
          <w:rFonts w:ascii="Times New Roman" w:hAnsi="Times New Roman" w:cs="Times New Roman"/>
          <w:sz w:val="24"/>
          <w:szCs w:val="24"/>
        </w:rPr>
        <w:t xml:space="preserve"> » sur le secteur litigieux est néfaste aux habitats de cette espèce. La circonstance invoquée par l’association requérante selon laquelle le secteur </w:t>
      </w:r>
      <w:r w:rsidR="00894C1E">
        <w:rPr>
          <w:rFonts w:ascii="Times New Roman" w:hAnsi="Times New Roman" w:cs="Times New Roman"/>
          <w:sz w:val="24"/>
          <w:szCs w:val="24"/>
        </w:rPr>
        <w:t xml:space="preserve">litigieux </w:t>
      </w:r>
      <w:r w:rsidR="00892B52">
        <w:rPr>
          <w:rFonts w:ascii="Times New Roman" w:hAnsi="Times New Roman" w:cs="Times New Roman"/>
          <w:sz w:val="24"/>
          <w:szCs w:val="24"/>
        </w:rPr>
        <w:t xml:space="preserve">peut </w:t>
      </w:r>
      <w:r w:rsidR="00894C1E">
        <w:rPr>
          <w:rFonts w:ascii="Times New Roman" w:hAnsi="Times New Roman" w:cs="Times New Roman"/>
          <w:sz w:val="24"/>
          <w:szCs w:val="24"/>
        </w:rPr>
        <w:t>être amené</w:t>
      </w:r>
      <w:r w:rsidR="00892B52">
        <w:rPr>
          <w:rFonts w:ascii="Times New Roman" w:hAnsi="Times New Roman" w:cs="Times New Roman"/>
          <w:sz w:val="24"/>
          <w:szCs w:val="24"/>
        </w:rPr>
        <w:t xml:space="preserve"> à retrouver des conditions d’accueil normales pour la nidification de cette espèce est toutefois sans influence sur le bienfondé de l’allégation susmentionnée. </w:t>
      </w:r>
    </w:p>
    <w:p w14:paraId="214A1766" w14:textId="425184A7" w:rsidR="00521AC2" w:rsidRDefault="00521AC2" w:rsidP="00CB5369">
      <w:pPr>
        <w:tabs>
          <w:tab w:val="left" w:pos="1560"/>
        </w:tabs>
        <w:spacing w:after="0" w:line="240" w:lineRule="auto"/>
        <w:ind w:firstLine="851"/>
        <w:jc w:val="both"/>
        <w:rPr>
          <w:rFonts w:ascii="Times New Roman" w:hAnsi="Times New Roman" w:cs="Times New Roman"/>
          <w:sz w:val="24"/>
          <w:szCs w:val="24"/>
        </w:rPr>
      </w:pPr>
    </w:p>
    <w:p w14:paraId="0EFEDF87" w14:textId="7B341CEC" w:rsidR="00245B2C" w:rsidRDefault="00775E12" w:rsidP="00245B2C">
      <w:pPr>
        <w:tabs>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35</w:t>
      </w:r>
      <w:r w:rsidR="00521AC2">
        <w:rPr>
          <w:rFonts w:ascii="Times New Roman" w:hAnsi="Times New Roman" w:cs="Times New Roman"/>
          <w:sz w:val="24"/>
          <w:szCs w:val="24"/>
        </w:rPr>
        <w:t>. Enfin, il ne ressort d’aucune des pièces du dossier que l’étude d’impact aurait été insuffisante ou négligente en qualifiant</w:t>
      </w:r>
      <w:r w:rsidR="00245B2C">
        <w:rPr>
          <w:rFonts w:ascii="Times New Roman" w:hAnsi="Times New Roman" w:cs="Times New Roman"/>
          <w:sz w:val="24"/>
          <w:szCs w:val="24"/>
        </w:rPr>
        <w:t xml:space="preserve"> de </w:t>
      </w:r>
      <w:r w:rsidR="00894C1E">
        <w:rPr>
          <w:rFonts w:ascii="Times New Roman" w:hAnsi="Times New Roman" w:cs="Times New Roman"/>
          <w:sz w:val="24"/>
          <w:szCs w:val="24"/>
        </w:rPr>
        <w:t>« </w:t>
      </w:r>
      <w:r w:rsidR="00706501">
        <w:rPr>
          <w:rFonts w:ascii="Times New Roman" w:hAnsi="Times New Roman" w:cs="Times New Roman"/>
          <w:sz w:val="24"/>
          <w:szCs w:val="24"/>
        </w:rPr>
        <w:t>modéré</w:t>
      </w:r>
      <w:r w:rsidR="00894C1E">
        <w:rPr>
          <w:rFonts w:ascii="Times New Roman" w:hAnsi="Times New Roman" w:cs="Times New Roman"/>
          <w:sz w:val="24"/>
          <w:szCs w:val="24"/>
        </w:rPr>
        <w:t> »</w:t>
      </w:r>
      <w:r w:rsidR="00706501">
        <w:rPr>
          <w:rFonts w:ascii="Times New Roman" w:hAnsi="Times New Roman" w:cs="Times New Roman"/>
          <w:sz w:val="24"/>
          <w:szCs w:val="24"/>
        </w:rPr>
        <w:t xml:space="preserve">, donc entre faible </w:t>
      </w:r>
      <w:r w:rsidR="00245B2C">
        <w:rPr>
          <w:rFonts w:ascii="Times New Roman" w:hAnsi="Times New Roman" w:cs="Times New Roman"/>
          <w:sz w:val="24"/>
          <w:szCs w:val="24"/>
        </w:rPr>
        <w:t>et fort,</w:t>
      </w:r>
      <w:r w:rsidR="00521AC2">
        <w:rPr>
          <w:rFonts w:ascii="Times New Roman" w:hAnsi="Times New Roman" w:cs="Times New Roman"/>
          <w:sz w:val="24"/>
          <w:szCs w:val="24"/>
        </w:rPr>
        <w:t xml:space="preserve"> les incidences du projet litigieux sur la modification de l’utilisation des habitats pour deux espèces à savoir la « </w:t>
      </w:r>
      <w:r w:rsidR="00521AC2" w:rsidRPr="00894C1E">
        <w:rPr>
          <w:rFonts w:ascii="Times New Roman" w:hAnsi="Times New Roman" w:cs="Times New Roman"/>
          <w:i/>
          <w:sz w:val="24"/>
          <w:szCs w:val="24"/>
        </w:rPr>
        <w:t>Pie-grièche écorcheur</w:t>
      </w:r>
      <w:r w:rsidR="00521AC2">
        <w:rPr>
          <w:rFonts w:ascii="Times New Roman" w:hAnsi="Times New Roman" w:cs="Times New Roman"/>
          <w:sz w:val="24"/>
          <w:szCs w:val="24"/>
        </w:rPr>
        <w:t> » et la « </w:t>
      </w:r>
      <w:r w:rsidR="00521AC2" w:rsidRPr="00894C1E">
        <w:rPr>
          <w:rFonts w:ascii="Times New Roman" w:hAnsi="Times New Roman" w:cs="Times New Roman"/>
          <w:i/>
          <w:sz w:val="24"/>
          <w:szCs w:val="24"/>
        </w:rPr>
        <w:t xml:space="preserve">Fauvette </w:t>
      </w:r>
      <w:proofErr w:type="spellStart"/>
      <w:r w:rsidR="00521AC2" w:rsidRPr="00894C1E">
        <w:rPr>
          <w:rFonts w:ascii="Times New Roman" w:hAnsi="Times New Roman" w:cs="Times New Roman"/>
          <w:i/>
          <w:sz w:val="24"/>
          <w:szCs w:val="24"/>
        </w:rPr>
        <w:t>pitchou</w:t>
      </w:r>
      <w:proofErr w:type="spellEnd"/>
      <w:r w:rsidR="00521AC2">
        <w:rPr>
          <w:rFonts w:ascii="Times New Roman" w:hAnsi="Times New Roman" w:cs="Times New Roman"/>
          <w:sz w:val="24"/>
          <w:szCs w:val="24"/>
        </w:rPr>
        <w:t> »</w:t>
      </w:r>
      <w:r w:rsidR="00245B2C">
        <w:rPr>
          <w:rFonts w:ascii="Times New Roman" w:hAnsi="Times New Roman" w:cs="Times New Roman"/>
          <w:sz w:val="24"/>
          <w:szCs w:val="24"/>
        </w:rPr>
        <w:t xml:space="preserve">. </w:t>
      </w:r>
    </w:p>
    <w:p w14:paraId="5EDF7258" w14:textId="70607253" w:rsidR="00C60E80" w:rsidRDefault="00C60E80" w:rsidP="00245B2C">
      <w:pPr>
        <w:tabs>
          <w:tab w:val="left" w:pos="1560"/>
        </w:tabs>
        <w:spacing w:after="0" w:line="240" w:lineRule="auto"/>
        <w:jc w:val="both"/>
        <w:rPr>
          <w:rFonts w:ascii="Times New Roman" w:hAnsi="Times New Roman" w:cs="Times New Roman"/>
          <w:sz w:val="24"/>
          <w:szCs w:val="24"/>
        </w:rPr>
      </w:pPr>
    </w:p>
    <w:p w14:paraId="5B6D7C78" w14:textId="40DFB2A1" w:rsidR="00C60E80" w:rsidRPr="00E436D7" w:rsidRDefault="00C60E80" w:rsidP="00894C1E">
      <w:pPr>
        <w:tabs>
          <w:tab w:val="left" w:pos="1560"/>
        </w:tabs>
        <w:spacing w:after="0" w:line="240" w:lineRule="auto"/>
        <w:jc w:val="both"/>
        <w:rPr>
          <w:rFonts w:ascii="Times New Roman" w:hAnsi="Times New Roman" w:cs="Times New Roman"/>
          <w:b/>
          <w:sz w:val="24"/>
          <w:szCs w:val="24"/>
          <w:u w:val="single"/>
        </w:rPr>
      </w:pPr>
      <w:r w:rsidRPr="00E436D7">
        <w:rPr>
          <w:rFonts w:ascii="Times New Roman" w:hAnsi="Times New Roman" w:cs="Times New Roman"/>
          <w:b/>
          <w:sz w:val="24"/>
          <w:szCs w:val="24"/>
          <w:u w:val="single"/>
        </w:rPr>
        <w:t xml:space="preserve">Quant à la pollution sonore : </w:t>
      </w:r>
    </w:p>
    <w:p w14:paraId="60D4A0E1" w14:textId="632E65AD" w:rsidR="00CB3668" w:rsidRDefault="00CB3668" w:rsidP="007861FB">
      <w:pPr>
        <w:tabs>
          <w:tab w:val="left" w:pos="1560"/>
        </w:tabs>
        <w:spacing w:after="0" w:line="240" w:lineRule="auto"/>
        <w:ind w:firstLine="851"/>
        <w:jc w:val="both"/>
        <w:rPr>
          <w:rFonts w:ascii="Times New Roman" w:hAnsi="Times New Roman" w:cs="Times New Roman"/>
          <w:sz w:val="24"/>
          <w:szCs w:val="24"/>
          <w:u w:val="single"/>
        </w:rPr>
      </w:pPr>
    </w:p>
    <w:p w14:paraId="05FF7AB0" w14:textId="452AA78C" w:rsidR="00CB3668" w:rsidRDefault="00775E12" w:rsidP="00865907">
      <w:pPr>
        <w:tabs>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36</w:t>
      </w:r>
      <w:r w:rsidR="00CB3668" w:rsidRPr="00CB3668">
        <w:rPr>
          <w:rFonts w:ascii="Times New Roman" w:hAnsi="Times New Roman" w:cs="Times New Roman"/>
          <w:sz w:val="24"/>
          <w:szCs w:val="24"/>
        </w:rPr>
        <w:t>.</w:t>
      </w:r>
      <w:r w:rsidR="00CB3668">
        <w:rPr>
          <w:rFonts w:ascii="Times New Roman" w:hAnsi="Times New Roman" w:cs="Times New Roman"/>
          <w:sz w:val="24"/>
          <w:szCs w:val="24"/>
        </w:rPr>
        <w:t xml:space="preserve"> </w:t>
      </w:r>
      <w:r w:rsidR="00E436D7">
        <w:rPr>
          <w:rFonts w:ascii="Times New Roman" w:hAnsi="Times New Roman" w:cs="Times New Roman"/>
          <w:sz w:val="24"/>
          <w:szCs w:val="24"/>
        </w:rPr>
        <w:t>C</w:t>
      </w:r>
      <w:r w:rsidR="00CB3668">
        <w:rPr>
          <w:rFonts w:ascii="Times New Roman" w:hAnsi="Times New Roman" w:cs="Times New Roman"/>
          <w:sz w:val="24"/>
          <w:szCs w:val="24"/>
        </w:rPr>
        <w:t>ontrairement à ce que soutient l’association requérante, l’étude d’impact contient une analyse des incidences sonores du projet sur l’avifaune</w:t>
      </w:r>
      <w:r w:rsidR="000B3EE4">
        <w:rPr>
          <w:rFonts w:ascii="Times New Roman" w:hAnsi="Times New Roman" w:cs="Times New Roman"/>
          <w:sz w:val="24"/>
          <w:szCs w:val="24"/>
        </w:rPr>
        <w:t xml:space="preserve">. </w:t>
      </w:r>
      <w:r w:rsidR="003C6EF0">
        <w:rPr>
          <w:rFonts w:ascii="Times New Roman" w:hAnsi="Times New Roman" w:cs="Times New Roman"/>
          <w:sz w:val="24"/>
          <w:szCs w:val="24"/>
        </w:rPr>
        <w:t>A cet effet, i</w:t>
      </w:r>
      <w:r w:rsidR="000B3EE4">
        <w:rPr>
          <w:rFonts w:ascii="Times New Roman" w:hAnsi="Times New Roman" w:cs="Times New Roman"/>
          <w:sz w:val="24"/>
          <w:szCs w:val="24"/>
        </w:rPr>
        <w:t>l est constant que le point 6.3.3.4 (</w:t>
      </w:r>
      <w:r w:rsidR="000B3EE4" w:rsidRPr="003C6EF0">
        <w:rPr>
          <w:rFonts w:ascii="Times New Roman" w:hAnsi="Times New Roman" w:cs="Times New Roman"/>
          <w:i/>
          <w:sz w:val="24"/>
          <w:szCs w:val="24"/>
        </w:rPr>
        <w:t>page 281</w:t>
      </w:r>
      <w:r w:rsidR="00865907">
        <w:rPr>
          <w:rFonts w:ascii="Times New Roman" w:hAnsi="Times New Roman" w:cs="Times New Roman"/>
          <w:sz w:val="24"/>
          <w:szCs w:val="24"/>
        </w:rPr>
        <w:t>) relatif aux oiseaux</w:t>
      </w:r>
      <w:r w:rsidR="000B3EE4">
        <w:rPr>
          <w:rFonts w:ascii="Times New Roman" w:hAnsi="Times New Roman" w:cs="Times New Roman"/>
          <w:sz w:val="24"/>
          <w:szCs w:val="24"/>
        </w:rPr>
        <w:t xml:space="preserve"> qualifie, en la matière, les incidences du projet comme </w:t>
      </w:r>
      <w:r w:rsidR="003C6EF0">
        <w:rPr>
          <w:rFonts w:ascii="Times New Roman" w:hAnsi="Times New Roman" w:cs="Times New Roman"/>
          <w:sz w:val="24"/>
          <w:szCs w:val="24"/>
        </w:rPr>
        <w:t>« </w:t>
      </w:r>
      <w:r w:rsidR="000B3EE4">
        <w:rPr>
          <w:rFonts w:ascii="Times New Roman" w:hAnsi="Times New Roman" w:cs="Times New Roman"/>
          <w:sz w:val="24"/>
          <w:szCs w:val="24"/>
        </w:rPr>
        <w:t>fort</w:t>
      </w:r>
      <w:r w:rsidR="003C6EF0">
        <w:rPr>
          <w:rFonts w:ascii="Times New Roman" w:hAnsi="Times New Roman" w:cs="Times New Roman"/>
          <w:sz w:val="24"/>
          <w:szCs w:val="24"/>
        </w:rPr>
        <w:t> »</w:t>
      </w:r>
      <w:r w:rsidR="000B3EE4">
        <w:rPr>
          <w:rFonts w:ascii="Times New Roman" w:hAnsi="Times New Roman" w:cs="Times New Roman"/>
          <w:sz w:val="24"/>
          <w:szCs w:val="24"/>
        </w:rPr>
        <w:t xml:space="preserve"> durant les phases de chantier et d’exploitation, uniquement, s’agissant de cette dernière phase</w:t>
      </w:r>
      <w:r w:rsidR="003C6EF0">
        <w:rPr>
          <w:rFonts w:ascii="Times New Roman" w:hAnsi="Times New Roman" w:cs="Times New Roman"/>
          <w:sz w:val="24"/>
          <w:szCs w:val="24"/>
        </w:rPr>
        <w:t>,</w:t>
      </w:r>
      <w:r w:rsidR="000B3EE4">
        <w:rPr>
          <w:rFonts w:ascii="Times New Roman" w:hAnsi="Times New Roman" w:cs="Times New Roman"/>
          <w:sz w:val="24"/>
          <w:szCs w:val="24"/>
        </w:rPr>
        <w:t xml:space="preserve"> lors des opérations de maintenance et d’entretien, lorsque de telles phases seront concomitantes à la période de reprod</w:t>
      </w:r>
      <w:r w:rsidR="00865907">
        <w:rPr>
          <w:rFonts w:ascii="Times New Roman" w:hAnsi="Times New Roman" w:cs="Times New Roman"/>
          <w:sz w:val="24"/>
          <w:szCs w:val="24"/>
        </w:rPr>
        <w:t>uction, compte tenu notamment des nuisances sonores</w:t>
      </w:r>
      <w:r w:rsidR="000B3EE4">
        <w:rPr>
          <w:rFonts w:ascii="Times New Roman" w:hAnsi="Times New Roman" w:cs="Times New Roman"/>
          <w:sz w:val="24"/>
          <w:szCs w:val="24"/>
        </w:rPr>
        <w:t xml:space="preserve"> qui pourront entrainer une diminution de fréquentation voire une désertion pouvant, dans certains cas, aboutir à l’échec de couvées. En outre, </w:t>
      </w:r>
      <w:r w:rsidR="00932694">
        <w:rPr>
          <w:rFonts w:ascii="Times New Roman" w:hAnsi="Times New Roman" w:cs="Times New Roman"/>
          <w:sz w:val="24"/>
          <w:szCs w:val="24"/>
        </w:rPr>
        <w:t xml:space="preserve">en dehors de la phase de travaux, des opérations </w:t>
      </w:r>
      <w:r w:rsidR="000B3EE4">
        <w:rPr>
          <w:rFonts w:ascii="Times New Roman" w:hAnsi="Times New Roman" w:cs="Times New Roman"/>
          <w:sz w:val="24"/>
          <w:szCs w:val="24"/>
        </w:rPr>
        <w:t>de maintenance et d’</w:t>
      </w:r>
      <w:r w:rsidR="00932694">
        <w:rPr>
          <w:rFonts w:ascii="Times New Roman" w:hAnsi="Times New Roman" w:cs="Times New Roman"/>
          <w:sz w:val="24"/>
          <w:szCs w:val="24"/>
        </w:rPr>
        <w:t xml:space="preserve">entretien et, dans tous les cas, en dehors des périodes de reproduction, </w:t>
      </w:r>
      <w:r w:rsidR="000B3EE4">
        <w:rPr>
          <w:rFonts w:ascii="Times New Roman" w:hAnsi="Times New Roman" w:cs="Times New Roman"/>
          <w:sz w:val="24"/>
          <w:szCs w:val="24"/>
        </w:rPr>
        <w:t xml:space="preserve">les incidences sonores du projet sur l’avifaune sont jugées </w:t>
      </w:r>
      <w:r w:rsidR="00932694">
        <w:rPr>
          <w:rFonts w:ascii="Times New Roman" w:hAnsi="Times New Roman" w:cs="Times New Roman"/>
          <w:sz w:val="24"/>
          <w:szCs w:val="24"/>
        </w:rPr>
        <w:t xml:space="preserve">comme étant </w:t>
      </w:r>
      <w:r w:rsidR="003C6EF0">
        <w:rPr>
          <w:rFonts w:ascii="Times New Roman" w:hAnsi="Times New Roman" w:cs="Times New Roman"/>
          <w:sz w:val="24"/>
          <w:szCs w:val="24"/>
        </w:rPr>
        <w:t>« </w:t>
      </w:r>
      <w:r w:rsidR="00865907">
        <w:rPr>
          <w:rFonts w:ascii="Times New Roman" w:hAnsi="Times New Roman" w:cs="Times New Roman"/>
          <w:sz w:val="24"/>
          <w:szCs w:val="24"/>
        </w:rPr>
        <w:t>faible</w:t>
      </w:r>
      <w:r w:rsidR="003C6EF0">
        <w:rPr>
          <w:rFonts w:ascii="Times New Roman" w:hAnsi="Times New Roman" w:cs="Times New Roman"/>
          <w:sz w:val="24"/>
          <w:szCs w:val="24"/>
        </w:rPr>
        <w:t> »</w:t>
      </w:r>
      <w:r w:rsidR="00932694">
        <w:rPr>
          <w:rFonts w:ascii="Times New Roman" w:hAnsi="Times New Roman" w:cs="Times New Roman"/>
          <w:sz w:val="24"/>
          <w:szCs w:val="24"/>
        </w:rPr>
        <w:t>. Dans ces conditions, l’association requérante n’est pas fondée à soutenir que l’étude d’impact est, s’agissant des incidences sonores du projet, entachée d’insuffisance de nature à avoir nui à l’information du public ou à avoir exercé</w:t>
      </w:r>
      <w:r w:rsidR="00932694" w:rsidRPr="00932694">
        <w:rPr>
          <w:rFonts w:ascii="Times New Roman" w:hAnsi="Times New Roman" w:cs="Times New Roman"/>
          <w:sz w:val="24"/>
          <w:szCs w:val="24"/>
        </w:rPr>
        <w:t xml:space="preserve"> une </w:t>
      </w:r>
      <w:r w:rsidR="00932694">
        <w:rPr>
          <w:rFonts w:ascii="Times New Roman" w:hAnsi="Times New Roman" w:cs="Times New Roman"/>
          <w:sz w:val="24"/>
          <w:szCs w:val="24"/>
        </w:rPr>
        <w:t xml:space="preserve">quelconque </w:t>
      </w:r>
      <w:r w:rsidR="00932694" w:rsidRPr="00932694">
        <w:rPr>
          <w:rFonts w:ascii="Times New Roman" w:hAnsi="Times New Roman" w:cs="Times New Roman"/>
          <w:sz w:val="24"/>
          <w:szCs w:val="24"/>
        </w:rPr>
        <w:t>influence sur la décision de l’autorité administrative</w:t>
      </w:r>
      <w:r w:rsidR="00932694">
        <w:rPr>
          <w:rFonts w:ascii="Times New Roman" w:hAnsi="Times New Roman" w:cs="Times New Roman"/>
          <w:sz w:val="24"/>
          <w:szCs w:val="24"/>
        </w:rPr>
        <w:t xml:space="preserve">. </w:t>
      </w:r>
    </w:p>
    <w:p w14:paraId="7E00FFA5" w14:textId="41D7B6E9" w:rsidR="00245B2C" w:rsidRDefault="00245B2C" w:rsidP="00932694">
      <w:pPr>
        <w:tabs>
          <w:tab w:val="left" w:pos="1560"/>
        </w:tabs>
        <w:spacing w:after="0" w:line="240" w:lineRule="auto"/>
        <w:ind w:firstLine="851"/>
        <w:jc w:val="both"/>
        <w:rPr>
          <w:rFonts w:ascii="Times New Roman" w:hAnsi="Times New Roman" w:cs="Times New Roman"/>
          <w:sz w:val="24"/>
          <w:szCs w:val="24"/>
        </w:rPr>
      </w:pPr>
    </w:p>
    <w:p w14:paraId="66F77F15" w14:textId="1323024F" w:rsidR="00245B2C" w:rsidRDefault="00245B2C" w:rsidP="003C6EF0">
      <w:pPr>
        <w:tabs>
          <w:tab w:val="left" w:pos="1560"/>
        </w:tabs>
        <w:spacing w:after="0" w:line="240" w:lineRule="auto"/>
        <w:jc w:val="both"/>
        <w:rPr>
          <w:rFonts w:ascii="Times New Roman" w:hAnsi="Times New Roman" w:cs="Times New Roman"/>
          <w:b/>
          <w:sz w:val="24"/>
          <w:szCs w:val="24"/>
          <w:u w:val="single"/>
        </w:rPr>
      </w:pPr>
      <w:r w:rsidRPr="00245B2C">
        <w:rPr>
          <w:rFonts w:ascii="Times New Roman" w:hAnsi="Times New Roman" w:cs="Times New Roman"/>
          <w:b/>
          <w:sz w:val="24"/>
          <w:szCs w:val="24"/>
          <w:u w:val="single"/>
        </w:rPr>
        <w:t xml:space="preserve">En ce qui concerne les mesures d’évitement, de réduction et de compensation :  </w:t>
      </w:r>
    </w:p>
    <w:p w14:paraId="411C3BB5" w14:textId="09655192" w:rsidR="00245B2C" w:rsidRDefault="00245B2C" w:rsidP="00245B2C">
      <w:pPr>
        <w:tabs>
          <w:tab w:val="left" w:pos="1560"/>
        </w:tabs>
        <w:spacing w:after="0" w:line="240" w:lineRule="auto"/>
        <w:ind w:firstLine="851"/>
        <w:jc w:val="both"/>
        <w:rPr>
          <w:rFonts w:ascii="Times New Roman" w:hAnsi="Times New Roman" w:cs="Times New Roman"/>
          <w:b/>
          <w:sz w:val="24"/>
          <w:szCs w:val="24"/>
          <w:u w:val="single"/>
        </w:rPr>
      </w:pPr>
    </w:p>
    <w:p w14:paraId="0EF701BE" w14:textId="5BFA8597" w:rsidR="00245B2C" w:rsidRDefault="00775E12" w:rsidP="00245B2C">
      <w:pPr>
        <w:tabs>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37</w:t>
      </w:r>
      <w:r w:rsidR="00245B2C" w:rsidRPr="00245B2C">
        <w:rPr>
          <w:rFonts w:ascii="Times New Roman" w:hAnsi="Times New Roman" w:cs="Times New Roman"/>
          <w:sz w:val="24"/>
          <w:szCs w:val="24"/>
        </w:rPr>
        <w:t xml:space="preserve">. </w:t>
      </w:r>
      <w:r w:rsidR="00BB191F" w:rsidRPr="00BB191F">
        <w:rPr>
          <w:rFonts w:ascii="Times New Roman" w:hAnsi="Times New Roman" w:cs="Times New Roman"/>
          <w:sz w:val="24"/>
          <w:szCs w:val="24"/>
        </w:rPr>
        <w:t xml:space="preserve">Aux termes des dispositions du II de l’article R. 122-5 du code de l’environnement : « </w:t>
      </w:r>
      <w:r w:rsidR="00BB191F" w:rsidRPr="00BB191F">
        <w:rPr>
          <w:rFonts w:ascii="Times New Roman" w:hAnsi="Times New Roman" w:cs="Times New Roman"/>
          <w:i/>
          <w:sz w:val="24"/>
          <w:szCs w:val="24"/>
        </w:rPr>
        <w:t>En application du 2° du II de l'article L. 122-3, l'étude d'impact comporte les éléments suivants, en fonction des caractéristiques spécifiques du projet et du type d'incidences sur l'environnement qu'il est susceptible de produire : / (…) 8° Les mesures prévues par le maître de l'ouvrage pour : / – éviter les effets négatifs notables du projet sur l'environnement ou la santé humaine et réduire les effets n'ayant pu être évités ; / – compenser, lorsque cela est possible, les effets négatifs notables du projet sur l'environnement ou la santé humaine qui n'ont pu être ni évités ni suffisamment réduits. S'il n'est pas possible de compenser ces effets, le maître d'ouvrage justifie cette impossibilité. / La description de ces mesures doit être accompagnée de l'estimation des dépenses correspondantes, de l'exposé des effets attendus de ces mesures à l'égard des impacts du projet sur les éléments mentionnés au 5° ; / 9° Le cas échéant, les modalités de suivi des mesures d'évitement, de réduction et de compensation proposées ; / (…</w:t>
      </w:r>
      <w:proofErr w:type="gramStart"/>
      <w:r w:rsidR="00BB191F" w:rsidRPr="00BB191F">
        <w:rPr>
          <w:rFonts w:ascii="Times New Roman" w:hAnsi="Times New Roman" w:cs="Times New Roman"/>
          <w:i/>
          <w:sz w:val="24"/>
          <w:szCs w:val="24"/>
        </w:rPr>
        <w:t>)</w:t>
      </w:r>
      <w:r w:rsidR="00BB191F" w:rsidRPr="00BB191F">
        <w:rPr>
          <w:rFonts w:ascii="Times New Roman" w:hAnsi="Times New Roman" w:cs="Times New Roman"/>
          <w:sz w:val="24"/>
          <w:szCs w:val="24"/>
        </w:rPr>
        <w:t>»</w:t>
      </w:r>
      <w:proofErr w:type="gramEnd"/>
      <w:r w:rsidR="00BB191F" w:rsidRPr="00BB191F">
        <w:rPr>
          <w:rFonts w:ascii="Times New Roman" w:hAnsi="Times New Roman" w:cs="Times New Roman"/>
          <w:sz w:val="24"/>
          <w:szCs w:val="24"/>
        </w:rPr>
        <w:t>.</w:t>
      </w:r>
    </w:p>
    <w:p w14:paraId="382F063A" w14:textId="47095E4C" w:rsidR="00BB191F" w:rsidRDefault="00BB191F" w:rsidP="00245B2C">
      <w:pPr>
        <w:tabs>
          <w:tab w:val="left" w:pos="1560"/>
        </w:tabs>
        <w:spacing w:after="0" w:line="240" w:lineRule="auto"/>
        <w:ind w:firstLine="851"/>
        <w:jc w:val="both"/>
        <w:rPr>
          <w:rFonts w:ascii="Times New Roman" w:hAnsi="Times New Roman" w:cs="Times New Roman"/>
          <w:sz w:val="24"/>
          <w:szCs w:val="24"/>
        </w:rPr>
      </w:pPr>
    </w:p>
    <w:p w14:paraId="6AE291BC" w14:textId="7EF915E6" w:rsidR="00792BD7" w:rsidRDefault="00BB191F" w:rsidP="004056E3">
      <w:pPr>
        <w:tabs>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38. En premier lieu,</w:t>
      </w:r>
      <w:r w:rsidR="007766B2">
        <w:rPr>
          <w:rFonts w:ascii="Times New Roman" w:hAnsi="Times New Roman" w:cs="Times New Roman"/>
          <w:sz w:val="24"/>
          <w:szCs w:val="24"/>
        </w:rPr>
        <w:t xml:space="preserve"> la circonstance relevée par le commissaire-enquêteur selon laquelle </w:t>
      </w:r>
      <w:r w:rsidR="007766B2" w:rsidRPr="007766B2">
        <w:rPr>
          <w:rFonts w:ascii="Times New Roman" w:hAnsi="Times New Roman" w:cs="Times New Roman"/>
          <w:sz w:val="24"/>
          <w:szCs w:val="24"/>
        </w:rPr>
        <w:t>la réalisation des opérations de débroussaillement projetées</w:t>
      </w:r>
      <w:r w:rsidR="007766B2">
        <w:rPr>
          <w:rFonts w:ascii="Times New Roman" w:hAnsi="Times New Roman" w:cs="Times New Roman"/>
          <w:sz w:val="24"/>
          <w:szCs w:val="24"/>
        </w:rPr>
        <w:t xml:space="preserve"> sont susceptibles de compromettre la réalisation de l’objectif « </w:t>
      </w:r>
      <w:r w:rsidR="007766B2" w:rsidRPr="003C6EF0">
        <w:rPr>
          <w:rFonts w:ascii="Times New Roman" w:hAnsi="Times New Roman" w:cs="Times New Roman"/>
          <w:i/>
          <w:sz w:val="24"/>
          <w:szCs w:val="24"/>
        </w:rPr>
        <w:t>d’évitement du talweg</w:t>
      </w:r>
      <w:r w:rsidR="007766B2">
        <w:rPr>
          <w:rFonts w:ascii="Times New Roman" w:hAnsi="Times New Roman" w:cs="Times New Roman"/>
          <w:sz w:val="24"/>
          <w:szCs w:val="24"/>
        </w:rPr>
        <w:t xml:space="preserve"> » figurant parmi la principale mesure d’évitement </w:t>
      </w:r>
      <w:r w:rsidR="003C6EF0">
        <w:rPr>
          <w:rFonts w:ascii="Times New Roman" w:hAnsi="Times New Roman" w:cs="Times New Roman"/>
          <w:sz w:val="24"/>
          <w:szCs w:val="24"/>
        </w:rPr>
        <w:t>mentionnée par</w:t>
      </w:r>
      <w:r w:rsidR="007766B2">
        <w:rPr>
          <w:rFonts w:ascii="Times New Roman" w:hAnsi="Times New Roman" w:cs="Times New Roman"/>
          <w:sz w:val="24"/>
          <w:szCs w:val="24"/>
        </w:rPr>
        <w:t xml:space="preserve"> l’étude d’impact litigieuse et consistant à </w:t>
      </w:r>
      <w:r w:rsidR="007766B2" w:rsidRPr="007766B2">
        <w:rPr>
          <w:rFonts w:ascii="Times New Roman" w:hAnsi="Times New Roman" w:cs="Times New Roman"/>
          <w:sz w:val="24"/>
          <w:szCs w:val="24"/>
        </w:rPr>
        <w:t xml:space="preserve">« </w:t>
      </w:r>
      <w:r w:rsidR="007766B2" w:rsidRPr="007766B2">
        <w:rPr>
          <w:rFonts w:ascii="Times New Roman" w:hAnsi="Times New Roman" w:cs="Times New Roman"/>
          <w:i/>
          <w:sz w:val="24"/>
          <w:szCs w:val="24"/>
        </w:rPr>
        <w:t xml:space="preserve">concevoir un projet adapté à son environnement », </w:t>
      </w:r>
      <w:r w:rsidR="007766B2" w:rsidRPr="00792BD7">
        <w:rPr>
          <w:rFonts w:ascii="Times New Roman" w:hAnsi="Times New Roman" w:cs="Times New Roman"/>
          <w:sz w:val="24"/>
          <w:szCs w:val="24"/>
        </w:rPr>
        <w:t>manque en fait dès lors qu’il ressort des termes même</w:t>
      </w:r>
      <w:r w:rsidR="003C6EF0">
        <w:rPr>
          <w:rFonts w:ascii="Times New Roman" w:hAnsi="Times New Roman" w:cs="Times New Roman"/>
          <w:sz w:val="24"/>
          <w:szCs w:val="24"/>
        </w:rPr>
        <w:t>s</w:t>
      </w:r>
      <w:r w:rsidR="007766B2" w:rsidRPr="00792BD7">
        <w:rPr>
          <w:rFonts w:ascii="Times New Roman" w:hAnsi="Times New Roman" w:cs="Times New Roman"/>
          <w:sz w:val="24"/>
          <w:szCs w:val="24"/>
        </w:rPr>
        <w:t xml:space="preserve"> de ladite étude que</w:t>
      </w:r>
      <w:r w:rsidR="007766B2" w:rsidRPr="007766B2">
        <w:rPr>
          <w:rFonts w:ascii="Times New Roman" w:hAnsi="Times New Roman" w:cs="Times New Roman"/>
          <w:i/>
          <w:sz w:val="24"/>
          <w:szCs w:val="24"/>
        </w:rPr>
        <w:t xml:space="preserve"> « le talweg et sa végétation, qui représentent un intérêt paysager, seront préservées de toute intervention »</w:t>
      </w:r>
      <w:r w:rsidR="007766B2">
        <w:rPr>
          <w:rFonts w:ascii="Times New Roman" w:hAnsi="Times New Roman" w:cs="Times New Roman"/>
          <w:i/>
          <w:sz w:val="24"/>
          <w:szCs w:val="24"/>
        </w:rPr>
        <w:t>.</w:t>
      </w:r>
      <w:r w:rsidR="00792BD7">
        <w:rPr>
          <w:rFonts w:ascii="Times New Roman" w:hAnsi="Times New Roman" w:cs="Times New Roman"/>
          <w:i/>
          <w:sz w:val="24"/>
          <w:szCs w:val="24"/>
        </w:rPr>
        <w:t xml:space="preserve"> </w:t>
      </w:r>
      <w:r w:rsidR="00792BD7">
        <w:rPr>
          <w:rFonts w:ascii="Times New Roman" w:hAnsi="Times New Roman" w:cs="Times New Roman"/>
          <w:sz w:val="24"/>
          <w:szCs w:val="24"/>
        </w:rPr>
        <w:t>En outre</w:t>
      </w:r>
      <w:r w:rsidR="00792BD7" w:rsidRPr="00792BD7">
        <w:rPr>
          <w:rFonts w:ascii="Times New Roman" w:hAnsi="Times New Roman" w:cs="Times New Roman"/>
          <w:sz w:val="24"/>
          <w:szCs w:val="24"/>
        </w:rPr>
        <w:t>, si</w:t>
      </w:r>
      <w:r w:rsidR="000822B7" w:rsidRPr="00792BD7">
        <w:rPr>
          <w:rFonts w:ascii="Times New Roman" w:hAnsi="Times New Roman" w:cs="Times New Roman"/>
          <w:sz w:val="24"/>
          <w:szCs w:val="24"/>
        </w:rPr>
        <w:t>, comme l’a relevé le commissaire-enqu</w:t>
      </w:r>
      <w:r w:rsidR="00792BD7" w:rsidRPr="00792BD7">
        <w:rPr>
          <w:rFonts w:ascii="Times New Roman" w:hAnsi="Times New Roman" w:cs="Times New Roman"/>
          <w:sz w:val="24"/>
          <w:szCs w:val="24"/>
        </w:rPr>
        <w:t xml:space="preserve">êteur, </w:t>
      </w:r>
      <w:r w:rsidR="000822B7" w:rsidRPr="00792BD7">
        <w:rPr>
          <w:rFonts w:ascii="Times New Roman" w:hAnsi="Times New Roman" w:cs="Times New Roman"/>
          <w:sz w:val="24"/>
          <w:szCs w:val="24"/>
        </w:rPr>
        <w:t>la mise en place d’un ponceau permet</w:t>
      </w:r>
      <w:r w:rsidR="007766B2" w:rsidRPr="00792BD7">
        <w:rPr>
          <w:rFonts w:ascii="Times New Roman" w:hAnsi="Times New Roman" w:cs="Times New Roman"/>
          <w:sz w:val="24"/>
          <w:szCs w:val="24"/>
        </w:rPr>
        <w:t>tant le</w:t>
      </w:r>
      <w:r w:rsidR="007766B2">
        <w:rPr>
          <w:rFonts w:ascii="Times New Roman" w:hAnsi="Times New Roman" w:cs="Times New Roman"/>
          <w:sz w:val="24"/>
          <w:szCs w:val="24"/>
        </w:rPr>
        <w:t xml:space="preserve"> ruissellement des eaux dans l’axe du talweg </w:t>
      </w:r>
      <w:r w:rsidR="00792BD7">
        <w:rPr>
          <w:rFonts w:ascii="Times New Roman" w:hAnsi="Times New Roman" w:cs="Times New Roman"/>
          <w:sz w:val="24"/>
          <w:szCs w:val="24"/>
        </w:rPr>
        <w:t>est</w:t>
      </w:r>
      <w:r w:rsidR="007766B2">
        <w:rPr>
          <w:rFonts w:ascii="Times New Roman" w:hAnsi="Times New Roman" w:cs="Times New Roman"/>
          <w:sz w:val="24"/>
          <w:szCs w:val="24"/>
        </w:rPr>
        <w:t xml:space="preserve"> susceptible</w:t>
      </w:r>
      <w:r w:rsidR="00792BD7">
        <w:rPr>
          <w:rFonts w:ascii="Times New Roman" w:hAnsi="Times New Roman" w:cs="Times New Roman"/>
          <w:sz w:val="24"/>
          <w:szCs w:val="24"/>
        </w:rPr>
        <w:t xml:space="preserve">, quant à elle, de compromettre la réalisation de l’objectif précité, la circonstance que l’étude d’impact n’en fasse pas mention ne peut toutefois être regardée comme ayant eu pour effet </w:t>
      </w:r>
      <w:r w:rsidR="004056E3">
        <w:rPr>
          <w:rFonts w:ascii="Times New Roman" w:hAnsi="Times New Roman" w:cs="Times New Roman"/>
          <w:sz w:val="24"/>
          <w:szCs w:val="24"/>
        </w:rPr>
        <w:t>soit d’avoir nui</w:t>
      </w:r>
      <w:r w:rsidR="00792BD7" w:rsidRPr="00792BD7">
        <w:rPr>
          <w:rFonts w:ascii="Times New Roman" w:hAnsi="Times New Roman" w:cs="Times New Roman"/>
          <w:sz w:val="24"/>
          <w:szCs w:val="24"/>
        </w:rPr>
        <w:t xml:space="preserve"> à l’information complète </w:t>
      </w:r>
      <w:r w:rsidR="00792BD7">
        <w:rPr>
          <w:rFonts w:ascii="Times New Roman" w:hAnsi="Times New Roman" w:cs="Times New Roman"/>
          <w:sz w:val="24"/>
          <w:szCs w:val="24"/>
        </w:rPr>
        <w:t xml:space="preserve">du public dès lors que </w:t>
      </w:r>
      <w:r w:rsidR="00792BD7" w:rsidRPr="00792BD7">
        <w:rPr>
          <w:rFonts w:ascii="Times New Roman" w:hAnsi="Times New Roman" w:cs="Times New Roman"/>
          <w:sz w:val="24"/>
          <w:szCs w:val="24"/>
        </w:rPr>
        <w:t>la nécessité de mettre en</w:t>
      </w:r>
      <w:r w:rsidR="00792BD7">
        <w:rPr>
          <w:rFonts w:ascii="Times New Roman" w:hAnsi="Times New Roman" w:cs="Times New Roman"/>
          <w:sz w:val="24"/>
          <w:szCs w:val="24"/>
        </w:rPr>
        <w:t xml:space="preserve"> place un </w:t>
      </w:r>
      <w:r w:rsidR="004056E3">
        <w:rPr>
          <w:rFonts w:ascii="Times New Roman" w:hAnsi="Times New Roman" w:cs="Times New Roman"/>
          <w:sz w:val="24"/>
          <w:szCs w:val="24"/>
        </w:rPr>
        <w:t xml:space="preserve">tel </w:t>
      </w:r>
      <w:r w:rsidR="00792BD7">
        <w:rPr>
          <w:rFonts w:ascii="Times New Roman" w:hAnsi="Times New Roman" w:cs="Times New Roman"/>
          <w:sz w:val="24"/>
          <w:szCs w:val="24"/>
        </w:rPr>
        <w:t xml:space="preserve">ponceau s’est révélée </w:t>
      </w:r>
      <w:r w:rsidR="004056E3">
        <w:rPr>
          <w:rFonts w:ascii="Times New Roman" w:hAnsi="Times New Roman" w:cs="Times New Roman"/>
          <w:sz w:val="24"/>
          <w:szCs w:val="24"/>
        </w:rPr>
        <w:t>seulement au moment de</w:t>
      </w:r>
      <w:r w:rsidR="00792BD7">
        <w:rPr>
          <w:rFonts w:ascii="Times New Roman" w:hAnsi="Times New Roman" w:cs="Times New Roman"/>
          <w:sz w:val="24"/>
          <w:szCs w:val="24"/>
        </w:rPr>
        <w:t xml:space="preserve"> l’étude hydrologique</w:t>
      </w:r>
      <w:r w:rsidR="004056E3">
        <w:rPr>
          <w:rFonts w:ascii="Times New Roman" w:hAnsi="Times New Roman" w:cs="Times New Roman"/>
          <w:sz w:val="24"/>
          <w:szCs w:val="24"/>
        </w:rPr>
        <w:t xml:space="preserve"> qui était postérieure à l’étude d’impact litigieuse et </w:t>
      </w:r>
      <w:r w:rsidR="00792BD7">
        <w:rPr>
          <w:rFonts w:ascii="Times New Roman" w:hAnsi="Times New Roman" w:cs="Times New Roman"/>
          <w:sz w:val="24"/>
          <w:szCs w:val="24"/>
        </w:rPr>
        <w:t>qui figurait parmi les pièces à la disposition du public lors de l’enquête public</w:t>
      </w:r>
      <w:r w:rsidR="004056E3">
        <w:rPr>
          <w:rFonts w:ascii="Times New Roman" w:hAnsi="Times New Roman" w:cs="Times New Roman"/>
          <w:sz w:val="24"/>
          <w:szCs w:val="24"/>
        </w:rPr>
        <w:t xml:space="preserve">, soit d’avoir </w:t>
      </w:r>
      <w:r w:rsidR="004056E3" w:rsidRPr="00792BD7">
        <w:rPr>
          <w:rFonts w:ascii="Times New Roman" w:hAnsi="Times New Roman" w:cs="Times New Roman"/>
          <w:sz w:val="24"/>
          <w:szCs w:val="24"/>
        </w:rPr>
        <w:t>exercé</w:t>
      </w:r>
      <w:r w:rsidR="00792BD7" w:rsidRPr="00792BD7">
        <w:rPr>
          <w:rFonts w:ascii="Times New Roman" w:hAnsi="Times New Roman" w:cs="Times New Roman"/>
          <w:sz w:val="24"/>
          <w:szCs w:val="24"/>
        </w:rPr>
        <w:t xml:space="preserve"> une </w:t>
      </w:r>
      <w:r w:rsidR="004056E3">
        <w:rPr>
          <w:rFonts w:ascii="Times New Roman" w:hAnsi="Times New Roman" w:cs="Times New Roman"/>
          <w:sz w:val="24"/>
          <w:szCs w:val="24"/>
        </w:rPr>
        <w:t xml:space="preserve">quelconque </w:t>
      </w:r>
      <w:r w:rsidR="00792BD7" w:rsidRPr="00792BD7">
        <w:rPr>
          <w:rFonts w:ascii="Times New Roman" w:hAnsi="Times New Roman" w:cs="Times New Roman"/>
          <w:sz w:val="24"/>
          <w:szCs w:val="24"/>
        </w:rPr>
        <w:t>influence sur la décision de l’autorité administrative.</w:t>
      </w:r>
    </w:p>
    <w:p w14:paraId="102DFDE3" w14:textId="5B8149CB" w:rsidR="004056E3" w:rsidRDefault="004056E3" w:rsidP="004056E3">
      <w:pPr>
        <w:tabs>
          <w:tab w:val="left" w:pos="1560"/>
        </w:tabs>
        <w:spacing w:after="0" w:line="240" w:lineRule="auto"/>
        <w:ind w:firstLine="851"/>
        <w:jc w:val="both"/>
        <w:rPr>
          <w:rFonts w:ascii="Times New Roman" w:hAnsi="Times New Roman" w:cs="Times New Roman"/>
          <w:sz w:val="24"/>
          <w:szCs w:val="24"/>
        </w:rPr>
      </w:pPr>
    </w:p>
    <w:p w14:paraId="6E79788F" w14:textId="587545ED" w:rsidR="00793F7F" w:rsidRDefault="004056E3" w:rsidP="004056E3">
      <w:pPr>
        <w:tabs>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39. En deuxième lieu, en se bornant à soutenir que la</w:t>
      </w:r>
      <w:r w:rsidR="003C6EF0">
        <w:rPr>
          <w:rFonts w:ascii="Times New Roman" w:hAnsi="Times New Roman" w:cs="Times New Roman"/>
          <w:sz w:val="24"/>
          <w:szCs w:val="24"/>
        </w:rPr>
        <w:t xml:space="preserve"> phase de travaux comprenant</w:t>
      </w:r>
      <w:r>
        <w:rPr>
          <w:rFonts w:ascii="Times New Roman" w:hAnsi="Times New Roman" w:cs="Times New Roman"/>
          <w:sz w:val="24"/>
          <w:szCs w:val="24"/>
        </w:rPr>
        <w:t xml:space="preserve"> notamment les opérations préalables de débroussaillement viendra nécessairement perturber le bon accomplissement du cycle biologique des espèces présentes sur le terrain d’assiette du projet, sans faire état d’aucun autre élément à l’appui de cette seule allégation, l’association requérante ne saurait être regardée comme contestant utilement </w:t>
      </w:r>
      <w:r w:rsidR="00793F7F">
        <w:rPr>
          <w:rFonts w:ascii="Times New Roman" w:hAnsi="Times New Roman" w:cs="Times New Roman"/>
          <w:sz w:val="24"/>
          <w:szCs w:val="24"/>
        </w:rPr>
        <w:t>la mesure d’évitement consistant à « </w:t>
      </w:r>
      <w:r w:rsidR="00793F7F" w:rsidRPr="003C6EF0">
        <w:rPr>
          <w:rFonts w:ascii="Times New Roman" w:hAnsi="Times New Roman" w:cs="Times New Roman"/>
          <w:i/>
          <w:sz w:val="24"/>
          <w:szCs w:val="24"/>
        </w:rPr>
        <w:t>adapter les périodes de travaux sur l’année</w:t>
      </w:r>
      <w:r w:rsidR="00793F7F">
        <w:rPr>
          <w:rFonts w:ascii="Times New Roman" w:hAnsi="Times New Roman" w:cs="Times New Roman"/>
          <w:sz w:val="24"/>
          <w:szCs w:val="24"/>
        </w:rPr>
        <w:t> » (</w:t>
      </w:r>
      <w:r w:rsidR="00793F7F" w:rsidRPr="00793F7F">
        <w:rPr>
          <w:rFonts w:ascii="Times New Roman" w:hAnsi="Times New Roman" w:cs="Times New Roman"/>
          <w:i/>
          <w:sz w:val="24"/>
          <w:szCs w:val="24"/>
        </w:rPr>
        <w:t>page 297</w:t>
      </w:r>
      <w:r w:rsidR="00793F7F">
        <w:rPr>
          <w:rFonts w:ascii="Times New Roman" w:hAnsi="Times New Roman" w:cs="Times New Roman"/>
          <w:sz w:val="24"/>
          <w:szCs w:val="24"/>
        </w:rPr>
        <w:t xml:space="preserve">). </w:t>
      </w:r>
    </w:p>
    <w:p w14:paraId="5D66D777" w14:textId="77777777" w:rsidR="00793F7F" w:rsidRDefault="00793F7F" w:rsidP="004056E3">
      <w:pPr>
        <w:tabs>
          <w:tab w:val="left" w:pos="1560"/>
        </w:tabs>
        <w:spacing w:after="0" w:line="240" w:lineRule="auto"/>
        <w:ind w:firstLine="851"/>
        <w:jc w:val="both"/>
        <w:rPr>
          <w:rFonts w:ascii="Times New Roman" w:hAnsi="Times New Roman" w:cs="Times New Roman"/>
          <w:sz w:val="24"/>
          <w:szCs w:val="24"/>
        </w:rPr>
      </w:pPr>
    </w:p>
    <w:p w14:paraId="294E2575" w14:textId="5C66EE12" w:rsidR="00793F7F" w:rsidRDefault="00793F7F" w:rsidP="008C62A0">
      <w:pPr>
        <w:tabs>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40. En troisième lieu, en se bornant à renvoyer le tribunal</w:t>
      </w:r>
      <w:r w:rsidR="003C6EF0">
        <w:rPr>
          <w:rFonts w:ascii="Times New Roman" w:hAnsi="Times New Roman" w:cs="Times New Roman"/>
          <w:sz w:val="24"/>
          <w:szCs w:val="24"/>
        </w:rPr>
        <w:t>, d’une part,</w:t>
      </w:r>
      <w:r>
        <w:rPr>
          <w:rFonts w:ascii="Times New Roman" w:hAnsi="Times New Roman" w:cs="Times New Roman"/>
          <w:sz w:val="24"/>
          <w:szCs w:val="24"/>
        </w:rPr>
        <w:t xml:space="preserve"> aux pages 87 à 100 du rapport du commissaire-enquêteur relatives aux mesures de compensation prévue</w:t>
      </w:r>
      <w:r w:rsidR="008C62A0">
        <w:rPr>
          <w:rFonts w:ascii="Times New Roman" w:hAnsi="Times New Roman" w:cs="Times New Roman"/>
          <w:sz w:val="24"/>
          <w:szCs w:val="24"/>
        </w:rPr>
        <w:t>s</w:t>
      </w:r>
      <w:r>
        <w:rPr>
          <w:rFonts w:ascii="Times New Roman" w:hAnsi="Times New Roman" w:cs="Times New Roman"/>
          <w:sz w:val="24"/>
          <w:szCs w:val="24"/>
        </w:rPr>
        <w:t xml:space="preserve"> et </w:t>
      </w:r>
      <w:r w:rsidR="008C62A0">
        <w:rPr>
          <w:rFonts w:ascii="Times New Roman" w:hAnsi="Times New Roman" w:cs="Times New Roman"/>
          <w:sz w:val="24"/>
          <w:szCs w:val="24"/>
        </w:rPr>
        <w:t xml:space="preserve">qui </w:t>
      </w:r>
      <w:r>
        <w:rPr>
          <w:rFonts w:ascii="Times New Roman" w:hAnsi="Times New Roman" w:cs="Times New Roman"/>
          <w:sz w:val="24"/>
          <w:szCs w:val="24"/>
        </w:rPr>
        <w:t xml:space="preserve">mettraient en lumière l’absence de plus-value écologique </w:t>
      </w:r>
      <w:r w:rsidR="008C62A0">
        <w:rPr>
          <w:rFonts w:ascii="Times New Roman" w:hAnsi="Times New Roman" w:cs="Times New Roman"/>
          <w:sz w:val="24"/>
          <w:szCs w:val="24"/>
        </w:rPr>
        <w:t>ainsi que l’existence de</w:t>
      </w:r>
      <w:r>
        <w:rPr>
          <w:rFonts w:ascii="Times New Roman" w:hAnsi="Times New Roman" w:cs="Times New Roman"/>
          <w:sz w:val="24"/>
          <w:szCs w:val="24"/>
        </w:rPr>
        <w:t xml:space="preserve"> risque</w:t>
      </w:r>
      <w:r w:rsidR="008C62A0">
        <w:rPr>
          <w:rFonts w:ascii="Times New Roman" w:hAnsi="Times New Roman" w:cs="Times New Roman"/>
          <w:sz w:val="24"/>
          <w:szCs w:val="24"/>
        </w:rPr>
        <w:t>s</w:t>
      </w:r>
      <w:r>
        <w:rPr>
          <w:rFonts w:ascii="Times New Roman" w:hAnsi="Times New Roman" w:cs="Times New Roman"/>
          <w:sz w:val="24"/>
          <w:szCs w:val="24"/>
        </w:rPr>
        <w:t xml:space="preserve"> d’aggravation </w:t>
      </w:r>
      <w:r w:rsidR="003C6EF0">
        <w:rPr>
          <w:rFonts w:ascii="Times New Roman" w:hAnsi="Times New Roman" w:cs="Times New Roman"/>
          <w:sz w:val="24"/>
          <w:szCs w:val="24"/>
        </w:rPr>
        <w:t xml:space="preserve">des impacts environnementaux et, d’autre part, </w:t>
      </w:r>
      <w:r w:rsidR="008C62A0">
        <w:rPr>
          <w:rFonts w:ascii="Times New Roman" w:hAnsi="Times New Roman" w:cs="Times New Roman"/>
          <w:sz w:val="24"/>
          <w:szCs w:val="24"/>
        </w:rPr>
        <w:t xml:space="preserve">à des extraits de l’avis mentionné au point 23 de la </w:t>
      </w:r>
      <w:proofErr w:type="spellStart"/>
      <w:r w:rsidR="008C62A0">
        <w:rPr>
          <w:rFonts w:ascii="Times New Roman" w:hAnsi="Times New Roman" w:cs="Times New Roman"/>
          <w:sz w:val="24"/>
          <w:szCs w:val="24"/>
        </w:rPr>
        <w:t>MRAe</w:t>
      </w:r>
      <w:proofErr w:type="spellEnd"/>
      <w:r w:rsidR="008C62A0">
        <w:rPr>
          <w:rFonts w:ascii="Times New Roman" w:hAnsi="Times New Roman" w:cs="Times New Roman"/>
          <w:sz w:val="24"/>
          <w:szCs w:val="24"/>
        </w:rPr>
        <w:t xml:space="preserve">, </w:t>
      </w:r>
      <w:r>
        <w:rPr>
          <w:rFonts w:ascii="Times New Roman" w:hAnsi="Times New Roman" w:cs="Times New Roman"/>
          <w:sz w:val="24"/>
          <w:szCs w:val="24"/>
        </w:rPr>
        <w:t xml:space="preserve">l’association requérante n’assortit pas cette sous-branche du moyen tiré de l’insuffisance de l’étude d’impact </w:t>
      </w:r>
      <w:r w:rsidRPr="00793F7F">
        <w:rPr>
          <w:rFonts w:ascii="Times New Roman" w:hAnsi="Times New Roman" w:cs="Times New Roman"/>
          <w:sz w:val="24"/>
          <w:szCs w:val="24"/>
        </w:rPr>
        <w:t>des précisions suffisantes permettant d’en apprécier ni la portée ni, en tout</w:t>
      </w:r>
      <w:r>
        <w:rPr>
          <w:rFonts w:ascii="Times New Roman" w:hAnsi="Times New Roman" w:cs="Times New Roman"/>
          <w:sz w:val="24"/>
          <w:szCs w:val="24"/>
        </w:rPr>
        <w:t xml:space="preserve"> état de cause, son bien-fondé. </w:t>
      </w:r>
    </w:p>
    <w:p w14:paraId="3396841B" w14:textId="3D5F235F" w:rsidR="008C62A0" w:rsidRDefault="008C62A0" w:rsidP="00793F7F">
      <w:pPr>
        <w:tabs>
          <w:tab w:val="left" w:pos="1560"/>
        </w:tabs>
        <w:spacing w:after="0" w:line="240" w:lineRule="auto"/>
        <w:ind w:firstLine="851"/>
        <w:jc w:val="both"/>
        <w:rPr>
          <w:rFonts w:ascii="Times New Roman" w:hAnsi="Times New Roman" w:cs="Times New Roman"/>
          <w:sz w:val="24"/>
          <w:szCs w:val="24"/>
        </w:rPr>
      </w:pPr>
    </w:p>
    <w:p w14:paraId="4FD6D365" w14:textId="5DB22F7F" w:rsidR="00E41E3A" w:rsidRDefault="00865907" w:rsidP="00604E5B">
      <w:pPr>
        <w:tabs>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41. En </w:t>
      </w:r>
      <w:r w:rsidR="00E436D7">
        <w:rPr>
          <w:rFonts w:ascii="Times New Roman" w:hAnsi="Times New Roman" w:cs="Times New Roman"/>
          <w:sz w:val="24"/>
          <w:szCs w:val="24"/>
        </w:rPr>
        <w:t xml:space="preserve">quatrième et </w:t>
      </w:r>
      <w:r>
        <w:rPr>
          <w:rFonts w:ascii="Times New Roman" w:hAnsi="Times New Roman" w:cs="Times New Roman"/>
          <w:sz w:val="24"/>
          <w:szCs w:val="24"/>
        </w:rPr>
        <w:t xml:space="preserve">dernier lieu, </w:t>
      </w:r>
      <w:r w:rsidR="008C62A0">
        <w:rPr>
          <w:rFonts w:ascii="Times New Roman" w:hAnsi="Times New Roman" w:cs="Times New Roman"/>
          <w:sz w:val="24"/>
          <w:szCs w:val="24"/>
        </w:rPr>
        <w:t xml:space="preserve">l’association requérante soutient qu’en l’absence d’analyse des incidences du projet litigieux, </w:t>
      </w:r>
      <w:r w:rsidR="00E41E3A">
        <w:rPr>
          <w:rFonts w:ascii="Times New Roman" w:hAnsi="Times New Roman" w:cs="Times New Roman"/>
          <w:sz w:val="24"/>
          <w:szCs w:val="24"/>
        </w:rPr>
        <w:t>intégrant</w:t>
      </w:r>
      <w:r w:rsidR="008C62A0">
        <w:rPr>
          <w:rFonts w:ascii="Times New Roman" w:hAnsi="Times New Roman" w:cs="Times New Roman"/>
          <w:sz w:val="24"/>
          <w:szCs w:val="24"/>
        </w:rPr>
        <w:t xml:space="preserve"> les mesures </w:t>
      </w:r>
      <w:r w:rsidR="00E41E3A">
        <w:rPr>
          <w:rFonts w:ascii="Times New Roman" w:hAnsi="Times New Roman" w:cs="Times New Roman"/>
          <w:sz w:val="24"/>
          <w:szCs w:val="24"/>
        </w:rPr>
        <w:t xml:space="preserve">destinées à compenser les </w:t>
      </w:r>
      <w:r w:rsidR="00E41E3A" w:rsidRPr="00E41E3A">
        <w:rPr>
          <w:rFonts w:ascii="Times New Roman" w:hAnsi="Times New Roman" w:cs="Times New Roman"/>
          <w:sz w:val="24"/>
          <w:szCs w:val="24"/>
        </w:rPr>
        <w:t xml:space="preserve">effets négatifs </w:t>
      </w:r>
      <w:r w:rsidR="00E41E3A">
        <w:rPr>
          <w:rFonts w:ascii="Times New Roman" w:hAnsi="Times New Roman" w:cs="Times New Roman"/>
          <w:sz w:val="24"/>
          <w:szCs w:val="24"/>
        </w:rPr>
        <w:t>dudit</w:t>
      </w:r>
      <w:r w:rsidR="00E41E3A" w:rsidRPr="00E41E3A">
        <w:rPr>
          <w:rFonts w:ascii="Times New Roman" w:hAnsi="Times New Roman" w:cs="Times New Roman"/>
          <w:sz w:val="24"/>
          <w:szCs w:val="24"/>
        </w:rPr>
        <w:t xml:space="preserve"> projet sur l'environnement ou la santé humaine</w:t>
      </w:r>
      <w:r>
        <w:rPr>
          <w:rFonts w:ascii="Times New Roman" w:hAnsi="Times New Roman" w:cs="Times New Roman"/>
          <w:sz w:val="24"/>
          <w:szCs w:val="24"/>
        </w:rPr>
        <w:t>, s’agissant d</w:t>
      </w:r>
      <w:r w:rsidR="00E41E3A">
        <w:rPr>
          <w:rFonts w:ascii="Times New Roman" w:hAnsi="Times New Roman" w:cs="Times New Roman"/>
          <w:sz w:val="24"/>
          <w:szCs w:val="24"/>
        </w:rPr>
        <w:t>es émissions de gaz à effet de serre, l’étude d’impact litigieuse doit ê</w:t>
      </w:r>
      <w:r>
        <w:rPr>
          <w:rFonts w:ascii="Times New Roman" w:hAnsi="Times New Roman" w:cs="Times New Roman"/>
          <w:sz w:val="24"/>
          <w:szCs w:val="24"/>
        </w:rPr>
        <w:t>tre regardée comme insuffisante. Toutefois,</w:t>
      </w:r>
      <w:r w:rsidR="00E41E3A">
        <w:rPr>
          <w:rFonts w:ascii="Times New Roman" w:hAnsi="Times New Roman" w:cs="Times New Roman"/>
          <w:sz w:val="24"/>
          <w:szCs w:val="24"/>
        </w:rPr>
        <w:t xml:space="preserve"> une telle allégation qui est au demeurant invoquée de manière imprécise et générale par l’association requérante est toutefois contredite par l’étude d’impact elle-même qui consacre à son </w:t>
      </w:r>
      <w:r w:rsidR="00E41E3A" w:rsidRPr="00E41E3A">
        <w:rPr>
          <w:rFonts w:ascii="Times New Roman" w:hAnsi="Times New Roman" w:cs="Times New Roman"/>
          <w:sz w:val="24"/>
          <w:szCs w:val="24"/>
        </w:rPr>
        <w:t>point 5.6 (</w:t>
      </w:r>
      <w:r w:rsidR="00E41E3A" w:rsidRPr="003C6EF0">
        <w:rPr>
          <w:rFonts w:ascii="Times New Roman" w:hAnsi="Times New Roman" w:cs="Times New Roman"/>
          <w:i/>
          <w:sz w:val="24"/>
          <w:szCs w:val="24"/>
        </w:rPr>
        <w:t>page 237</w:t>
      </w:r>
      <w:r w:rsidR="00E41E3A" w:rsidRPr="00E41E3A">
        <w:rPr>
          <w:rFonts w:ascii="Times New Roman" w:hAnsi="Times New Roman" w:cs="Times New Roman"/>
          <w:sz w:val="24"/>
          <w:szCs w:val="24"/>
        </w:rPr>
        <w:t xml:space="preserve">) </w:t>
      </w:r>
      <w:r w:rsidR="00E41E3A">
        <w:rPr>
          <w:rFonts w:ascii="Times New Roman" w:hAnsi="Times New Roman" w:cs="Times New Roman"/>
          <w:sz w:val="24"/>
          <w:szCs w:val="24"/>
        </w:rPr>
        <w:t xml:space="preserve">une description des </w:t>
      </w:r>
      <w:r w:rsidR="00E41E3A" w:rsidRPr="00E41E3A">
        <w:rPr>
          <w:rFonts w:ascii="Times New Roman" w:hAnsi="Times New Roman" w:cs="Times New Roman"/>
          <w:sz w:val="24"/>
          <w:szCs w:val="24"/>
        </w:rPr>
        <w:t>incidences du parc photovoltaïque projeté quant à l’émission de gaz à effet de serre</w:t>
      </w:r>
      <w:r w:rsidR="00E41E3A">
        <w:rPr>
          <w:rFonts w:ascii="Times New Roman" w:hAnsi="Times New Roman" w:cs="Times New Roman"/>
          <w:sz w:val="24"/>
          <w:szCs w:val="24"/>
        </w:rPr>
        <w:t>, utilement complét</w:t>
      </w:r>
      <w:r w:rsidR="00604E5B">
        <w:rPr>
          <w:rFonts w:ascii="Times New Roman" w:hAnsi="Times New Roman" w:cs="Times New Roman"/>
          <w:sz w:val="24"/>
          <w:szCs w:val="24"/>
        </w:rPr>
        <w:t xml:space="preserve">ée par un </w:t>
      </w:r>
      <w:r w:rsidR="00E41E3A" w:rsidRPr="00E41E3A">
        <w:rPr>
          <w:rFonts w:ascii="Times New Roman" w:hAnsi="Times New Roman" w:cs="Times New Roman"/>
          <w:sz w:val="24"/>
          <w:szCs w:val="24"/>
        </w:rPr>
        <w:t xml:space="preserve">mémoire en réponse </w:t>
      </w:r>
      <w:r w:rsidR="00604E5B">
        <w:rPr>
          <w:rFonts w:ascii="Times New Roman" w:hAnsi="Times New Roman" w:cs="Times New Roman"/>
          <w:sz w:val="24"/>
          <w:szCs w:val="24"/>
        </w:rPr>
        <w:t>de la SMEG et de l</w:t>
      </w:r>
      <w:r w:rsidR="00604E5B" w:rsidRPr="00604E5B">
        <w:rPr>
          <w:rFonts w:ascii="Times New Roman" w:hAnsi="Times New Roman" w:cs="Times New Roman"/>
          <w:sz w:val="24"/>
          <w:szCs w:val="24"/>
        </w:rPr>
        <w:t>a métropole Nice Cote d’Azur</w:t>
      </w:r>
      <w:r w:rsidR="00604E5B">
        <w:rPr>
          <w:rFonts w:ascii="Times New Roman" w:hAnsi="Times New Roman" w:cs="Times New Roman"/>
          <w:sz w:val="24"/>
          <w:szCs w:val="24"/>
        </w:rPr>
        <w:t xml:space="preserve"> </w:t>
      </w:r>
      <w:r w:rsidR="00E41E3A" w:rsidRPr="00E41E3A">
        <w:rPr>
          <w:rFonts w:ascii="Times New Roman" w:hAnsi="Times New Roman" w:cs="Times New Roman"/>
          <w:sz w:val="24"/>
          <w:szCs w:val="24"/>
        </w:rPr>
        <w:t xml:space="preserve">à l’avis précité de </w:t>
      </w:r>
      <w:r w:rsidR="00604E5B">
        <w:rPr>
          <w:rFonts w:ascii="Times New Roman" w:hAnsi="Times New Roman" w:cs="Times New Roman"/>
          <w:sz w:val="24"/>
          <w:szCs w:val="24"/>
        </w:rPr>
        <w:t xml:space="preserve">la </w:t>
      </w:r>
      <w:proofErr w:type="spellStart"/>
      <w:r w:rsidR="00604E5B">
        <w:rPr>
          <w:rFonts w:ascii="Times New Roman" w:hAnsi="Times New Roman" w:cs="Times New Roman"/>
          <w:sz w:val="24"/>
          <w:szCs w:val="24"/>
        </w:rPr>
        <w:t>MRAe</w:t>
      </w:r>
      <w:proofErr w:type="spellEnd"/>
      <w:r w:rsidR="00604E5B">
        <w:rPr>
          <w:rFonts w:ascii="Times New Roman" w:hAnsi="Times New Roman" w:cs="Times New Roman"/>
          <w:sz w:val="24"/>
          <w:szCs w:val="24"/>
        </w:rPr>
        <w:t>, daté de décembre 2022 et</w:t>
      </w:r>
      <w:r w:rsidR="00E41E3A" w:rsidRPr="00E41E3A">
        <w:rPr>
          <w:rFonts w:ascii="Times New Roman" w:hAnsi="Times New Roman" w:cs="Times New Roman"/>
          <w:sz w:val="24"/>
          <w:szCs w:val="24"/>
        </w:rPr>
        <w:t xml:space="preserve"> accessible tant aux juges qu’aux parties,</w:t>
      </w:r>
      <w:r w:rsidR="00E41E3A">
        <w:rPr>
          <w:rFonts w:ascii="Times New Roman" w:hAnsi="Times New Roman" w:cs="Times New Roman"/>
          <w:sz w:val="24"/>
          <w:szCs w:val="24"/>
        </w:rPr>
        <w:t xml:space="preserve"> dont ladite association n’en conteste pas les éléments et conclusions qui y figurent. </w:t>
      </w:r>
    </w:p>
    <w:p w14:paraId="2F40236B" w14:textId="77777777" w:rsidR="00E41E3A" w:rsidRDefault="00E41E3A" w:rsidP="00E41E3A">
      <w:pPr>
        <w:tabs>
          <w:tab w:val="left" w:pos="1560"/>
        </w:tabs>
        <w:spacing w:after="0" w:line="240" w:lineRule="auto"/>
        <w:ind w:firstLine="851"/>
        <w:jc w:val="both"/>
        <w:rPr>
          <w:rFonts w:ascii="Times New Roman" w:hAnsi="Times New Roman" w:cs="Times New Roman"/>
          <w:sz w:val="24"/>
          <w:szCs w:val="24"/>
        </w:rPr>
      </w:pPr>
    </w:p>
    <w:p w14:paraId="30759654" w14:textId="4DAB2F98" w:rsidR="004056E3" w:rsidRDefault="00E41E3A" w:rsidP="00A1462A">
      <w:pPr>
        <w:tabs>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42. Il résulte </w:t>
      </w:r>
      <w:r w:rsidR="003C6EF0">
        <w:rPr>
          <w:rFonts w:ascii="Times New Roman" w:hAnsi="Times New Roman" w:cs="Times New Roman"/>
          <w:sz w:val="24"/>
          <w:szCs w:val="24"/>
        </w:rPr>
        <w:t xml:space="preserve">alors </w:t>
      </w:r>
      <w:r>
        <w:rPr>
          <w:rFonts w:ascii="Times New Roman" w:hAnsi="Times New Roman" w:cs="Times New Roman"/>
          <w:sz w:val="24"/>
          <w:szCs w:val="24"/>
        </w:rPr>
        <w:t>de ce qui a été dit aux po</w:t>
      </w:r>
      <w:r w:rsidR="003C6EF0">
        <w:rPr>
          <w:rFonts w:ascii="Times New Roman" w:hAnsi="Times New Roman" w:cs="Times New Roman"/>
          <w:sz w:val="24"/>
          <w:szCs w:val="24"/>
        </w:rPr>
        <w:t>ints 38</w:t>
      </w:r>
      <w:r>
        <w:rPr>
          <w:rFonts w:ascii="Times New Roman" w:hAnsi="Times New Roman" w:cs="Times New Roman"/>
          <w:sz w:val="24"/>
          <w:szCs w:val="24"/>
        </w:rPr>
        <w:t xml:space="preserve"> à 41 que la branche du moyen relatif à l’insuffisance de l’étude d’impact et tirée de la méconnaissance des dispositions précité</w:t>
      </w:r>
      <w:r w:rsidR="00865907">
        <w:rPr>
          <w:rFonts w:ascii="Times New Roman" w:hAnsi="Times New Roman" w:cs="Times New Roman"/>
          <w:sz w:val="24"/>
          <w:szCs w:val="24"/>
        </w:rPr>
        <w:t>e</w:t>
      </w:r>
      <w:r>
        <w:rPr>
          <w:rFonts w:ascii="Times New Roman" w:hAnsi="Times New Roman" w:cs="Times New Roman"/>
          <w:sz w:val="24"/>
          <w:szCs w:val="24"/>
        </w:rPr>
        <w:t xml:space="preserve">s des 8° et 9° de l’article </w:t>
      </w:r>
      <w:r w:rsidRPr="00E41E3A">
        <w:rPr>
          <w:rFonts w:ascii="Times New Roman" w:hAnsi="Times New Roman" w:cs="Times New Roman"/>
          <w:sz w:val="24"/>
          <w:szCs w:val="24"/>
        </w:rPr>
        <w:t>R. 122-5 du code de l’environnement</w:t>
      </w:r>
      <w:r w:rsidR="00A1462A">
        <w:rPr>
          <w:rFonts w:ascii="Times New Roman" w:hAnsi="Times New Roman" w:cs="Times New Roman"/>
          <w:sz w:val="24"/>
          <w:szCs w:val="24"/>
        </w:rPr>
        <w:t xml:space="preserve"> doit, telle qu’elle </w:t>
      </w:r>
      <w:r w:rsidR="00A1462A" w:rsidRPr="00A1462A">
        <w:rPr>
          <w:rFonts w:ascii="Times New Roman" w:hAnsi="Times New Roman" w:cs="Times New Roman"/>
          <w:sz w:val="24"/>
          <w:szCs w:val="24"/>
        </w:rPr>
        <w:t>est développé</w:t>
      </w:r>
      <w:r w:rsidR="00A1462A">
        <w:rPr>
          <w:rFonts w:ascii="Times New Roman" w:hAnsi="Times New Roman" w:cs="Times New Roman"/>
          <w:sz w:val="24"/>
          <w:szCs w:val="24"/>
        </w:rPr>
        <w:t>e</w:t>
      </w:r>
      <w:r w:rsidR="00A1462A" w:rsidRPr="00A1462A">
        <w:rPr>
          <w:rFonts w:ascii="Times New Roman" w:hAnsi="Times New Roman" w:cs="Times New Roman"/>
          <w:sz w:val="24"/>
          <w:szCs w:val="24"/>
        </w:rPr>
        <w:t xml:space="preserve"> par l’association requérante</w:t>
      </w:r>
      <w:r w:rsidR="00A1462A">
        <w:rPr>
          <w:rFonts w:ascii="Times New Roman" w:hAnsi="Times New Roman" w:cs="Times New Roman"/>
          <w:sz w:val="24"/>
          <w:szCs w:val="24"/>
        </w:rPr>
        <w:t xml:space="preserve">, </w:t>
      </w:r>
      <w:r>
        <w:rPr>
          <w:rFonts w:ascii="Times New Roman" w:hAnsi="Times New Roman" w:cs="Times New Roman"/>
          <w:sz w:val="24"/>
          <w:szCs w:val="24"/>
        </w:rPr>
        <w:t>être</w:t>
      </w:r>
      <w:r w:rsidR="00A1462A">
        <w:rPr>
          <w:rFonts w:ascii="Times New Roman" w:hAnsi="Times New Roman" w:cs="Times New Roman"/>
          <w:sz w:val="24"/>
          <w:szCs w:val="24"/>
        </w:rPr>
        <w:t xml:space="preserve"> </w:t>
      </w:r>
      <w:r>
        <w:rPr>
          <w:rFonts w:ascii="Times New Roman" w:hAnsi="Times New Roman" w:cs="Times New Roman"/>
          <w:sz w:val="24"/>
          <w:szCs w:val="24"/>
        </w:rPr>
        <w:t>écartée dans son ensemble.</w:t>
      </w:r>
    </w:p>
    <w:p w14:paraId="263A6D2C" w14:textId="3EC2F28A" w:rsidR="00C02F44" w:rsidRDefault="00C02F44" w:rsidP="008C62A0">
      <w:pPr>
        <w:tabs>
          <w:tab w:val="left" w:pos="1560"/>
        </w:tabs>
        <w:spacing w:after="0" w:line="240" w:lineRule="auto"/>
        <w:jc w:val="both"/>
        <w:rPr>
          <w:rFonts w:ascii="Times New Roman" w:hAnsi="Times New Roman" w:cs="Times New Roman"/>
          <w:sz w:val="24"/>
          <w:szCs w:val="24"/>
        </w:rPr>
      </w:pPr>
    </w:p>
    <w:p w14:paraId="625F7EA3" w14:textId="77777777" w:rsidR="00E436D7" w:rsidRDefault="00E436D7" w:rsidP="00A1462A">
      <w:pPr>
        <w:tabs>
          <w:tab w:val="left" w:pos="1560"/>
        </w:tabs>
        <w:spacing w:after="0" w:line="240" w:lineRule="auto"/>
        <w:jc w:val="both"/>
        <w:rPr>
          <w:rFonts w:ascii="Times New Roman" w:hAnsi="Times New Roman" w:cs="Times New Roman"/>
          <w:b/>
          <w:sz w:val="24"/>
          <w:szCs w:val="24"/>
          <w:u w:val="single"/>
        </w:rPr>
      </w:pPr>
    </w:p>
    <w:p w14:paraId="1450CF4F" w14:textId="77777777" w:rsidR="00E436D7" w:rsidRDefault="00E436D7" w:rsidP="00A1462A">
      <w:pPr>
        <w:tabs>
          <w:tab w:val="left" w:pos="1560"/>
        </w:tabs>
        <w:spacing w:after="0" w:line="240" w:lineRule="auto"/>
        <w:jc w:val="both"/>
        <w:rPr>
          <w:rFonts w:ascii="Times New Roman" w:hAnsi="Times New Roman" w:cs="Times New Roman"/>
          <w:b/>
          <w:sz w:val="24"/>
          <w:szCs w:val="24"/>
          <w:u w:val="single"/>
        </w:rPr>
      </w:pPr>
    </w:p>
    <w:p w14:paraId="3FCD225E" w14:textId="1DCB1E29" w:rsidR="00696ED8" w:rsidRDefault="00C02F44" w:rsidP="00A1462A">
      <w:pPr>
        <w:tabs>
          <w:tab w:val="left" w:pos="1560"/>
        </w:tabs>
        <w:spacing w:after="0" w:line="240" w:lineRule="auto"/>
        <w:jc w:val="both"/>
        <w:rPr>
          <w:rFonts w:ascii="Times New Roman" w:hAnsi="Times New Roman" w:cs="Times New Roman"/>
          <w:b/>
          <w:sz w:val="24"/>
          <w:szCs w:val="24"/>
          <w:u w:val="single"/>
        </w:rPr>
      </w:pPr>
      <w:r w:rsidRPr="00C02F44">
        <w:rPr>
          <w:rFonts w:ascii="Times New Roman" w:hAnsi="Times New Roman" w:cs="Times New Roman"/>
          <w:b/>
          <w:sz w:val="24"/>
          <w:szCs w:val="24"/>
          <w:u w:val="single"/>
        </w:rPr>
        <w:lastRenderedPageBreak/>
        <w:t xml:space="preserve">En ce qui concerne les solutions de substitution raisonnables : </w:t>
      </w:r>
    </w:p>
    <w:p w14:paraId="05E3E4CE" w14:textId="77777777" w:rsidR="00E41E3A" w:rsidRDefault="00E41E3A" w:rsidP="00E41E3A">
      <w:pPr>
        <w:tabs>
          <w:tab w:val="left" w:pos="1560"/>
        </w:tabs>
        <w:spacing w:after="0" w:line="240" w:lineRule="auto"/>
        <w:ind w:firstLine="851"/>
        <w:jc w:val="both"/>
        <w:rPr>
          <w:rFonts w:ascii="Times New Roman" w:hAnsi="Times New Roman" w:cs="Times New Roman"/>
          <w:b/>
          <w:sz w:val="24"/>
          <w:szCs w:val="24"/>
          <w:u w:val="single"/>
        </w:rPr>
      </w:pPr>
    </w:p>
    <w:p w14:paraId="287DAEE9" w14:textId="1692F67F" w:rsidR="00696ED8" w:rsidRDefault="00E41E3A" w:rsidP="00245B2C">
      <w:pPr>
        <w:tabs>
          <w:tab w:val="left" w:pos="1560"/>
        </w:tabs>
        <w:spacing w:after="0" w:line="240" w:lineRule="auto"/>
        <w:ind w:firstLine="851"/>
        <w:jc w:val="both"/>
        <w:rPr>
          <w:rFonts w:ascii="Times New Roman" w:hAnsi="Times New Roman" w:cs="Times New Roman"/>
          <w:i/>
          <w:sz w:val="24"/>
          <w:szCs w:val="24"/>
        </w:rPr>
      </w:pPr>
      <w:r>
        <w:rPr>
          <w:rFonts w:ascii="Times New Roman" w:hAnsi="Times New Roman" w:cs="Times New Roman"/>
          <w:sz w:val="24"/>
          <w:szCs w:val="24"/>
        </w:rPr>
        <w:t>43</w:t>
      </w:r>
      <w:r w:rsidR="00696ED8" w:rsidRPr="00696ED8">
        <w:rPr>
          <w:rFonts w:ascii="Times New Roman" w:hAnsi="Times New Roman" w:cs="Times New Roman"/>
          <w:sz w:val="24"/>
          <w:szCs w:val="24"/>
        </w:rPr>
        <w:t xml:space="preserve">. </w:t>
      </w:r>
      <w:r w:rsidR="009775FF" w:rsidRPr="009775FF">
        <w:rPr>
          <w:rFonts w:ascii="Times New Roman" w:hAnsi="Times New Roman" w:cs="Times New Roman"/>
          <w:sz w:val="24"/>
          <w:szCs w:val="24"/>
        </w:rPr>
        <w:t>Aux termes des dispositions du II de l’article R. 122</w:t>
      </w:r>
      <w:r w:rsidR="009775FF">
        <w:rPr>
          <w:rFonts w:ascii="Times New Roman" w:hAnsi="Times New Roman" w:cs="Times New Roman"/>
          <w:sz w:val="24"/>
          <w:szCs w:val="24"/>
        </w:rPr>
        <w:t xml:space="preserve">-5 du code de l’environnement : </w:t>
      </w:r>
      <w:r w:rsidR="009775FF" w:rsidRPr="009775FF">
        <w:rPr>
          <w:rFonts w:ascii="Times New Roman" w:hAnsi="Times New Roman" w:cs="Times New Roman"/>
          <w:sz w:val="24"/>
          <w:szCs w:val="24"/>
        </w:rPr>
        <w:t xml:space="preserve">« </w:t>
      </w:r>
      <w:r w:rsidR="009775FF" w:rsidRPr="009775FF">
        <w:rPr>
          <w:rFonts w:ascii="Times New Roman" w:hAnsi="Times New Roman" w:cs="Times New Roman"/>
          <w:i/>
          <w:sz w:val="24"/>
          <w:szCs w:val="24"/>
        </w:rPr>
        <w:t>En application du 2° du II de l'article L. 122-3, l'étude d'impact comporte les éléments suivants, en fonction des caractéristiques spécifiques du projet et du type d'incidences sur l'environnement qu'il est susceptible de produire : / (…)</w:t>
      </w:r>
      <w:r w:rsidR="009775FF">
        <w:rPr>
          <w:rFonts w:ascii="Times New Roman" w:hAnsi="Times New Roman" w:cs="Times New Roman"/>
          <w:i/>
          <w:sz w:val="24"/>
          <w:szCs w:val="24"/>
        </w:rPr>
        <w:t xml:space="preserve"> </w:t>
      </w:r>
      <w:r w:rsidR="009775FF" w:rsidRPr="009775FF">
        <w:rPr>
          <w:rFonts w:ascii="Times New Roman" w:hAnsi="Times New Roman" w:cs="Times New Roman"/>
          <w:i/>
          <w:sz w:val="24"/>
          <w:szCs w:val="24"/>
        </w:rPr>
        <w:t>7° Une description des solutions de substitution raisonnables qui ont été examinées par le maître d'ouvrage, en fonction du projet proposé et de ses caractéristiques spécifiques, et une indication des principales raisons du choix effectué, notamment une comparaison des incidences sur l'environnement et la santé humaine ;</w:t>
      </w:r>
      <w:r w:rsidR="009775FF">
        <w:rPr>
          <w:rFonts w:ascii="Times New Roman" w:hAnsi="Times New Roman" w:cs="Times New Roman"/>
          <w:i/>
          <w:sz w:val="24"/>
          <w:szCs w:val="24"/>
        </w:rPr>
        <w:t xml:space="preserve"> / (…) ». </w:t>
      </w:r>
    </w:p>
    <w:p w14:paraId="53FB9CA1" w14:textId="79742B57" w:rsidR="009775FF" w:rsidRDefault="009775FF" w:rsidP="00245B2C">
      <w:pPr>
        <w:tabs>
          <w:tab w:val="left" w:pos="1560"/>
        </w:tabs>
        <w:spacing w:after="0" w:line="240" w:lineRule="auto"/>
        <w:ind w:firstLine="851"/>
        <w:jc w:val="both"/>
        <w:rPr>
          <w:rFonts w:ascii="Times New Roman" w:hAnsi="Times New Roman" w:cs="Times New Roman"/>
          <w:i/>
          <w:sz w:val="24"/>
          <w:szCs w:val="24"/>
        </w:rPr>
      </w:pPr>
    </w:p>
    <w:p w14:paraId="657FDD65" w14:textId="08466DA4" w:rsidR="00B14D35" w:rsidRPr="00B14D35" w:rsidRDefault="00E41E3A" w:rsidP="00866B2A">
      <w:pPr>
        <w:tabs>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44</w:t>
      </w:r>
      <w:r w:rsidR="009775FF" w:rsidRPr="009775FF">
        <w:rPr>
          <w:rFonts w:ascii="Times New Roman" w:hAnsi="Times New Roman" w:cs="Times New Roman"/>
          <w:sz w:val="24"/>
          <w:szCs w:val="24"/>
        </w:rPr>
        <w:t>.</w:t>
      </w:r>
      <w:r w:rsidR="009775FF">
        <w:rPr>
          <w:rFonts w:ascii="Times New Roman" w:hAnsi="Times New Roman" w:cs="Times New Roman"/>
          <w:sz w:val="24"/>
          <w:szCs w:val="24"/>
        </w:rPr>
        <w:t xml:space="preserve"> En l’espèce, il est constant que l’étude d’impact comporte un chapitre (</w:t>
      </w:r>
      <w:r w:rsidR="009775FF" w:rsidRPr="00A1462A">
        <w:rPr>
          <w:rFonts w:ascii="Times New Roman" w:hAnsi="Times New Roman" w:cs="Times New Roman"/>
          <w:i/>
          <w:sz w:val="24"/>
          <w:szCs w:val="24"/>
        </w:rPr>
        <w:t>pages 45 et suivantes</w:t>
      </w:r>
      <w:r w:rsidR="009775FF">
        <w:rPr>
          <w:rFonts w:ascii="Times New Roman" w:hAnsi="Times New Roman" w:cs="Times New Roman"/>
          <w:sz w:val="24"/>
          <w:szCs w:val="24"/>
        </w:rPr>
        <w:t xml:space="preserve">) </w:t>
      </w:r>
      <w:r w:rsidR="004078C7">
        <w:rPr>
          <w:rFonts w:ascii="Times New Roman" w:hAnsi="Times New Roman" w:cs="Times New Roman"/>
          <w:sz w:val="24"/>
          <w:szCs w:val="24"/>
        </w:rPr>
        <w:t xml:space="preserve">dédié </w:t>
      </w:r>
      <w:r w:rsidR="009775FF">
        <w:rPr>
          <w:rFonts w:ascii="Times New Roman" w:hAnsi="Times New Roman" w:cs="Times New Roman"/>
          <w:sz w:val="24"/>
          <w:szCs w:val="24"/>
        </w:rPr>
        <w:t xml:space="preserve">à la justification du choix du site à l’échelle métropolitaine qui indique, qu’à la suite d’une étude de préfaisabilité, ledit site s’est imposé comme un </w:t>
      </w:r>
      <w:r w:rsidR="00865907">
        <w:rPr>
          <w:rFonts w:ascii="Times New Roman" w:hAnsi="Times New Roman" w:cs="Times New Roman"/>
          <w:sz w:val="24"/>
          <w:szCs w:val="24"/>
        </w:rPr>
        <w:t>secteur</w:t>
      </w:r>
      <w:r w:rsidR="009775FF">
        <w:rPr>
          <w:rFonts w:ascii="Times New Roman" w:hAnsi="Times New Roman" w:cs="Times New Roman"/>
          <w:sz w:val="24"/>
          <w:szCs w:val="24"/>
        </w:rPr>
        <w:t xml:space="preserve"> à privilégier parmi les quarante-neuf site</w:t>
      </w:r>
      <w:r w:rsidR="00A1462A">
        <w:rPr>
          <w:rFonts w:ascii="Times New Roman" w:hAnsi="Times New Roman" w:cs="Times New Roman"/>
          <w:sz w:val="24"/>
          <w:szCs w:val="24"/>
        </w:rPr>
        <w:t>s</w:t>
      </w:r>
      <w:r w:rsidR="009775FF">
        <w:rPr>
          <w:rFonts w:ascii="Times New Roman" w:hAnsi="Times New Roman" w:cs="Times New Roman"/>
          <w:sz w:val="24"/>
          <w:szCs w:val="24"/>
        </w:rPr>
        <w:t xml:space="preserve"> potentiels compte tenu de sa localisation </w:t>
      </w:r>
      <w:r w:rsidR="004078C7">
        <w:rPr>
          <w:rFonts w:ascii="Times New Roman" w:hAnsi="Times New Roman" w:cs="Times New Roman"/>
          <w:sz w:val="24"/>
          <w:szCs w:val="24"/>
        </w:rPr>
        <w:t xml:space="preserve">notamment </w:t>
      </w:r>
      <w:r w:rsidR="009775FF">
        <w:rPr>
          <w:rFonts w:ascii="Times New Roman" w:hAnsi="Times New Roman" w:cs="Times New Roman"/>
          <w:sz w:val="24"/>
          <w:szCs w:val="24"/>
        </w:rPr>
        <w:t>par rapport aux zones naturelles d’intér</w:t>
      </w:r>
      <w:r w:rsidR="00A46E7B">
        <w:rPr>
          <w:rFonts w:ascii="Times New Roman" w:hAnsi="Times New Roman" w:cs="Times New Roman"/>
          <w:sz w:val="24"/>
          <w:szCs w:val="24"/>
        </w:rPr>
        <w:t>êt recon</w:t>
      </w:r>
      <w:r w:rsidR="00865907">
        <w:rPr>
          <w:rFonts w:ascii="Times New Roman" w:hAnsi="Times New Roman" w:cs="Times New Roman"/>
          <w:sz w:val="24"/>
          <w:szCs w:val="24"/>
        </w:rPr>
        <w:t xml:space="preserve">nu et </w:t>
      </w:r>
      <w:r w:rsidR="00A46E7B">
        <w:rPr>
          <w:rFonts w:ascii="Times New Roman" w:hAnsi="Times New Roman" w:cs="Times New Roman"/>
          <w:sz w:val="24"/>
          <w:szCs w:val="24"/>
        </w:rPr>
        <w:t xml:space="preserve">à celles exposées à des risques naturels, de son irradiation exceptionnelle ou encore </w:t>
      </w:r>
      <w:r w:rsidR="00A46E7B" w:rsidRPr="00A46E7B">
        <w:rPr>
          <w:rFonts w:ascii="Times New Roman" w:hAnsi="Times New Roman" w:cs="Times New Roman"/>
          <w:sz w:val="24"/>
          <w:szCs w:val="24"/>
        </w:rPr>
        <w:t xml:space="preserve">de son exposition à un vent thermique d’orientation nord/sud ou sud/nord garantissant une ventilation supérieure aux </w:t>
      </w:r>
      <w:r w:rsidR="00A46E7B">
        <w:rPr>
          <w:rFonts w:ascii="Times New Roman" w:hAnsi="Times New Roman" w:cs="Times New Roman"/>
          <w:sz w:val="24"/>
          <w:szCs w:val="24"/>
        </w:rPr>
        <w:t xml:space="preserve">autres </w:t>
      </w:r>
      <w:r w:rsidR="00A46E7B" w:rsidRPr="00A46E7B">
        <w:rPr>
          <w:rFonts w:ascii="Times New Roman" w:hAnsi="Times New Roman" w:cs="Times New Roman"/>
          <w:sz w:val="24"/>
          <w:szCs w:val="24"/>
        </w:rPr>
        <w:t>zones de nature à assurer un effet de rafraîchissement naturelle de l’infrastructure projetée</w:t>
      </w:r>
      <w:r w:rsidR="00A46E7B">
        <w:rPr>
          <w:rFonts w:ascii="Times New Roman" w:hAnsi="Times New Roman" w:cs="Times New Roman"/>
          <w:sz w:val="24"/>
          <w:szCs w:val="24"/>
        </w:rPr>
        <w:t xml:space="preserve">. </w:t>
      </w:r>
      <w:r w:rsidR="0065077E">
        <w:rPr>
          <w:rFonts w:ascii="Times New Roman" w:hAnsi="Times New Roman" w:cs="Times New Roman"/>
          <w:sz w:val="24"/>
          <w:szCs w:val="24"/>
        </w:rPr>
        <w:t xml:space="preserve">En outre, ces développements relatifs </w:t>
      </w:r>
      <w:r w:rsidR="0065077E" w:rsidRPr="0065077E">
        <w:rPr>
          <w:rFonts w:ascii="Times New Roman" w:hAnsi="Times New Roman" w:cs="Times New Roman"/>
          <w:sz w:val="24"/>
          <w:szCs w:val="24"/>
        </w:rPr>
        <w:t>à la justification du choix du site</w:t>
      </w:r>
      <w:r w:rsidR="0065077E">
        <w:rPr>
          <w:rFonts w:ascii="Times New Roman" w:hAnsi="Times New Roman" w:cs="Times New Roman"/>
          <w:sz w:val="24"/>
          <w:szCs w:val="24"/>
        </w:rPr>
        <w:t xml:space="preserve"> sont utilement complétés, </w:t>
      </w:r>
      <w:r w:rsidR="0065077E" w:rsidRPr="00152594">
        <w:rPr>
          <w:rFonts w:ascii="Times New Roman" w:hAnsi="Times New Roman" w:cs="Times New Roman"/>
          <w:sz w:val="24"/>
          <w:szCs w:val="24"/>
        </w:rPr>
        <w:t>d’une part, par une carte dite « de superposition des contraintes » annexée à l’étude d’impact (</w:t>
      </w:r>
      <w:r w:rsidR="0065077E" w:rsidRPr="00A1462A">
        <w:rPr>
          <w:rFonts w:ascii="Times New Roman" w:hAnsi="Times New Roman" w:cs="Times New Roman"/>
          <w:i/>
          <w:sz w:val="24"/>
          <w:szCs w:val="24"/>
        </w:rPr>
        <w:t>page 55</w:t>
      </w:r>
      <w:r w:rsidR="0065077E" w:rsidRPr="00152594">
        <w:rPr>
          <w:rFonts w:ascii="Times New Roman" w:hAnsi="Times New Roman" w:cs="Times New Roman"/>
          <w:sz w:val="24"/>
          <w:szCs w:val="24"/>
        </w:rPr>
        <w:t>) qui permet de mettre en lumière les marges de manœuvre relativement restreintes quant au choix d’implantation d’un tel projet de parc photovoltaïque à l’échelle métropolitaine et, d’autre part, par un document intitulé « </w:t>
      </w:r>
      <w:r w:rsidR="00CC5445">
        <w:rPr>
          <w:rFonts w:ascii="Times New Roman" w:hAnsi="Times New Roman" w:cs="Times New Roman"/>
          <w:sz w:val="24"/>
          <w:szCs w:val="24"/>
        </w:rPr>
        <w:t>Projet d’étude d’i</w:t>
      </w:r>
      <w:r w:rsidR="0065077E" w:rsidRPr="00152594">
        <w:rPr>
          <w:rFonts w:ascii="Times New Roman" w:hAnsi="Times New Roman" w:cs="Times New Roman"/>
          <w:sz w:val="24"/>
          <w:szCs w:val="24"/>
        </w:rPr>
        <w:t>dentification des sites propices au développement PV » annexé à l’étude d’impact litigieuse sous la cote « Annexe 8 » (</w:t>
      </w:r>
      <w:r w:rsidR="0065077E" w:rsidRPr="00A1462A">
        <w:rPr>
          <w:rFonts w:ascii="Times New Roman" w:hAnsi="Times New Roman" w:cs="Times New Roman"/>
          <w:i/>
          <w:sz w:val="24"/>
          <w:szCs w:val="24"/>
        </w:rPr>
        <w:t>pages 458 et suivantes</w:t>
      </w:r>
      <w:r w:rsidR="0065077E" w:rsidRPr="00152594">
        <w:rPr>
          <w:rFonts w:ascii="Times New Roman" w:hAnsi="Times New Roman" w:cs="Times New Roman"/>
          <w:sz w:val="24"/>
          <w:szCs w:val="24"/>
        </w:rPr>
        <w:t>)</w:t>
      </w:r>
      <w:r w:rsidR="00152594" w:rsidRPr="00152594">
        <w:rPr>
          <w:rFonts w:ascii="Times New Roman" w:hAnsi="Times New Roman" w:cs="Times New Roman"/>
          <w:sz w:val="24"/>
          <w:szCs w:val="24"/>
        </w:rPr>
        <w:t>,</w:t>
      </w:r>
      <w:r w:rsidR="00152594">
        <w:rPr>
          <w:rFonts w:ascii="Times New Roman" w:hAnsi="Times New Roman" w:cs="Times New Roman"/>
          <w:sz w:val="24"/>
          <w:szCs w:val="24"/>
        </w:rPr>
        <w:t xml:space="preserve"> exposant, au regard de la méthodologie décrite par ce même document, le classement des sites mobilisables </w:t>
      </w:r>
      <w:r w:rsidR="00152594" w:rsidRPr="00152594">
        <w:rPr>
          <w:rFonts w:ascii="Times New Roman" w:hAnsi="Times New Roman" w:cs="Times New Roman"/>
          <w:color w:val="231F20"/>
          <w:sz w:val="24"/>
          <w:szCs w:val="24"/>
        </w:rPr>
        <w:t>pour le développement de la filière</w:t>
      </w:r>
      <w:r w:rsidR="00152594">
        <w:rPr>
          <w:rFonts w:ascii="Times New Roman" w:hAnsi="Times New Roman" w:cs="Times New Roman"/>
          <w:color w:val="231F20"/>
          <w:sz w:val="24"/>
          <w:szCs w:val="24"/>
        </w:rPr>
        <w:t xml:space="preserve"> photovoltaïque sur le territoire métropolitain au sein duquel le site d’implantation retenu apparait en </w:t>
      </w:r>
      <w:r w:rsidR="00865907">
        <w:rPr>
          <w:rFonts w:ascii="Times New Roman" w:hAnsi="Times New Roman" w:cs="Times New Roman"/>
          <w:color w:val="231F20"/>
          <w:sz w:val="24"/>
          <w:szCs w:val="24"/>
        </w:rPr>
        <w:t>troisième position avec une not</w:t>
      </w:r>
      <w:r w:rsidR="00152594">
        <w:rPr>
          <w:rFonts w:ascii="Times New Roman" w:hAnsi="Times New Roman" w:cs="Times New Roman"/>
          <w:color w:val="231F20"/>
          <w:sz w:val="24"/>
          <w:szCs w:val="24"/>
        </w:rPr>
        <w:t>e de « 18,67/20 » et en première position s’agissant des sites de plus de dix hectares.</w:t>
      </w:r>
      <w:r w:rsidR="00B14D35">
        <w:rPr>
          <w:rFonts w:ascii="Times New Roman" w:hAnsi="Times New Roman" w:cs="Times New Roman"/>
          <w:color w:val="231F20"/>
          <w:sz w:val="24"/>
          <w:szCs w:val="24"/>
        </w:rPr>
        <w:t xml:space="preserve"> </w:t>
      </w:r>
      <w:r w:rsidR="00152594">
        <w:rPr>
          <w:rFonts w:ascii="Times New Roman" w:hAnsi="Times New Roman" w:cs="Times New Roman"/>
          <w:color w:val="231F20"/>
          <w:sz w:val="24"/>
          <w:szCs w:val="24"/>
        </w:rPr>
        <w:t>S</w:t>
      </w:r>
      <w:r w:rsidR="00CC5445">
        <w:rPr>
          <w:rFonts w:ascii="Times New Roman" w:hAnsi="Times New Roman" w:cs="Times New Roman"/>
          <w:color w:val="231F20"/>
          <w:sz w:val="24"/>
          <w:szCs w:val="24"/>
        </w:rPr>
        <w:t>i, comme s’en prévaut</w:t>
      </w:r>
      <w:r w:rsidR="00152594">
        <w:rPr>
          <w:rFonts w:ascii="Times New Roman" w:hAnsi="Times New Roman" w:cs="Times New Roman"/>
          <w:color w:val="231F20"/>
          <w:sz w:val="24"/>
          <w:szCs w:val="24"/>
        </w:rPr>
        <w:t xml:space="preserve"> l’association requérante, </w:t>
      </w:r>
      <w:r w:rsidR="00866821">
        <w:rPr>
          <w:rFonts w:ascii="Times New Roman" w:hAnsi="Times New Roman" w:cs="Times New Roman"/>
          <w:color w:val="231F20"/>
          <w:sz w:val="24"/>
          <w:szCs w:val="24"/>
        </w:rPr>
        <w:t xml:space="preserve">tant la </w:t>
      </w:r>
      <w:proofErr w:type="spellStart"/>
      <w:r w:rsidR="00866821">
        <w:rPr>
          <w:rFonts w:ascii="Times New Roman" w:hAnsi="Times New Roman" w:cs="Times New Roman"/>
          <w:color w:val="231F20"/>
          <w:sz w:val="24"/>
          <w:szCs w:val="24"/>
        </w:rPr>
        <w:t>MRAe</w:t>
      </w:r>
      <w:proofErr w:type="spellEnd"/>
      <w:r w:rsidR="00866821">
        <w:rPr>
          <w:rFonts w:ascii="Times New Roman" w:hAnsi="Times New Roman" w:cs="Times New Roman"/>
          <w:color w:val="231F20"/>
          <w:sz w:val="24"/>
          <w:szCs w:val="24"/>
        </w:rPr>
        <w:t xml:space="preserve"> que le CNPN, dans leur</w:t>
      </w:r>
      <w:r w:rsidR="00865907">
        <w:rPr>
          <w:rFonts w:ascii="Times New Roman" w:hAnsi="Times New Roman" w:cs="Times New Roman"/>
          <w:color w:val="231F20"/>
          <w:sz w:val="24"/>
          <w:szCs w:val="24"/>
        </w:rPr>
        <w:t>s avis respectivement mentionné</w:t>
      </w:r>
      <w:r w:rsidR="00866821">
        <w:rPr>
          <w:rFonts w:ascii="Times New Roman" w:hAnsi="Times New Roman" w:cs="Times New Roman"/>
          <w:color w:val="231F20"/>
          <w:sz w:val="24"/>
          <w:szCs w:val="24"/>
        </w:rPr>
        <w:t xml:space="preserve">s aux points 23 et 26 du jugement, font état d’insuffisances et d’incohérences quant </w:t>
      </w:r>
      <w:r w:rsidR="00CC5445">
        <w:rPr>
          <w:rFonts w:ascii="Times New Roman" w:hAnsi="Times New Roman" w:cs="Times New Roman"/>
          <w:sz w:val="24"/>
          <w:szCs w:val="24"/>
        </w:rPr>
        <w:t>à la méthodologie retenue</w:t>
      </w:r>
      <w:r w:rsidR="00B14D35">
        <w:rPr>
          <w:rFonts w:ascii="Times New Roman" w:hAnsi="Times New Roman" w:cs="Times New Roman"/>
          <w:sz w:val="24"/>
          <w:szCs w:val="24"/>
        </w:rPr>
        <w:t xml:space="preserve"> pour le choix du site et notamment celle mise en œuvre dans l</w:t>
      </w:r>
      <w:r w:rsidR="00CC5445">
        <w:rPr>
          <w:rFonts w:ascii="Times New Roman" w:hAnsi="Times New Roman" w:cs="Times New Roman"/>
          <w:sz w:val="24"/>
          <w:szCs w:val="24"/>
        </w:rPr>
        <w:t>’</w:t>
      </w:r>
      <w:r w:rsidR="00CC5445" w:rsidRPr="00CC5445">
        <w:rPr>
          <w:rFonts w:ascii="Times New Roman" w:hAnsi="Times New Roman" w:cs="Times New Roman"/>
          <w:sz w:val="24"/>
          <w:szCs w:val="24"/>
        </w:rPr>
        <w:t xml:space="preserve">étude </w:t>
      </w:r>
      <w:r w:rsidR="00CC5445">
        <w:rPr>
          <w:rFonts w:ascii="Times New Roman" w:hAnsi="Times New Roman" w:cs="Times New Roman"/>
          <w:sz w:val="24"/>
          <w:szCs w:val="24"/>
        </w:rPr>
        <w:t>précitée d’i</w:t>
      </w:r>
      <w:r w:rsidR="00CC5445" w:rsidRPr="00CC5445">
        <w:rPr>
          <w:rFonts w:ascii="Times New Roman" w:hAnsi="Times New Roman" w:cs="Times New Roman"/>
          <w:sz w:val="24"/>
          <w:szCs w:val="24"/>
        </w:rPr>
        <w:t>dentification des si</w:t>
      </w:r>
      <w:r w:rsidR="00CC5445">
        <w:rPr>
          <w:rFonts w:ascii="Times New Roman" w:hAnsi="Times New Roman" w:cs="Times New Roman"/>
          <w:sz w:val="24"/>
          <w:szCs w:val="24"/>
        </w:rPr>
        <w:t xml:space="preserve">tes propices au développement de </w:t>
      </w:r>
      <w:r w:rsidR="00CC5445" w:rsidRPr="00CC5445">
        <w:rPr>
          <w:rFonts w:ascii="Times New Roman" w:hAnsi="Times New Roman" w:cs="Times New Roman"/>
          <w:sz w:val="24"/>
          <w:szCs w:val="24"/>
        </w:rPr>
        <w:t>la filière photovoltaïque</w:t>
      </w:r>
      <w:r w:rsidR="00CC5445">
        <w:rPr>
          <w:rFonts w:ascii="Times New Roman" w:hAnsi="Times New Roman" w:cs="Times New Roman"/>
          <w:sz w:val="24"/>
          <w:szCs w:val="24"/>
        </w:rPr>
        <w:t xml:space="preserve">, une telle circonstance est toutefois sans incidence sur la régularité de l’étude d’impact au regard des dispositions précitées du 7° de l’article  </w:t>
      </w:r>
      <w:r w:rsidR="00CC5445" w:rsidRPr="00CC5445">
        <w:rPr>
          <w:rFonts w:ascii="Times New Roman" w:hAnsi="Times New Roman" w:cs="Times New Roman"/>
          <w:sz w:val="24"/>
          <w:szCs w:val="24"/>
        </w:rPr>
        <w:t>R. 122-5 du code de l’environnement</w:t>
      </w:r>
      <w:r w:rsidR="00CC5445">
        <w:rPr>
          <w:rFonts w:ascii="Times New Roman" w:hAnsi="Times New Roman" w:cs="Times New Roman"/>
          <w:sz w:val="24"/>
          <w:szCs w:val="24"/>
        </w:rPr>
        <w:t xml:space="preserve"> lesquelles</w:t>
      </w:r>
      <w:r w:rsidR="00866B2A">
        <w:rPr>
          <w:rFonts w:ascii="Times New Roman" w:hAnsi="Times New Roman" w:cs="Times New Roman"/>
          <w:sz w:val="24"/>
          <w:szCs w:val="24"/>
        </w:rPr>
        <w:t xml:space="preserve"> n’imposent que l’</w:t>
      </w:r>
      <w:r w:rsidR="00866B2A" w:rsidRPr="00866B2A">
        <w:rPr>
          <w:rFonts w:ascii="Times New Roman" w:hAnsi="Times New Roman" w:cs="Times New Roman"/>
          <w:sz w:val="24"/>
          <w:szCs w:val="24"/>
        </w:rPr>
        <w:t>indication des principales raisons du choix effectué</w:t>
      </w:r>
      <w:r w:rsidR="00866B2A">
        <w:rPr>
          <w:rFonts w:ascii="Times New Roman" w:hAnsi="Times New Roman" w:cs="Times New Roman"/>
          <w:sz w:val="24"/>
          <w:szCs w:val="24"/>
        </w:rPr>
        <w:t xml:space="preserve"> et </w:t>
      </w:r>
      <w:r w:rsidR="00CC5445">
        <w:rPr>
          <w:rFonts w:ascii="Times New Roman" w:hAnsi="Times New Roman" w:cs="Times New Roman"/>
          <w:sz w:val="24"/>
          <w:szCs w:val="24"/>
        </w:rPr>
        <w:t>ne sauraient</w:t>
      </w:r>
      <w:r w:rsidR="00866B2A">
        <w:rPr>
          <w:rFonts w:ascii="Times New Roman" w:hAnsi="Times New Roman" w:cs="Times New Roman"/>
          <w:sz w:val="24"/>
          <w:szCs w:val="24"/>
        </w:rPr>
        <w:t>, dès lors,</w:t>
      </w:r>
      <w:r w:rsidR="00CC5445">
        <w:rPr>
          <w:rFonts w:ascii="Times New Roman" w:hAnsi="Times New Roman" w:cs="Times New Roman"/>
          <w:sz w:val="24"/>
          <w:szCs w:val="24"/>
        </w:rPr>
        <w:t xml:space="preserve"> être regardées comme imposant la description de la méthodologie </w:t>
      </w:r>
      <w:r w:rsidR="00B14D35">
        <w:rPr>
          <w:rFonts w:ascii="Times New Roman" w:hAnsi="Times New Roman" w:cs="Times New Roman"/>
          <w:sz w:val="24"/>
          <w:szCs w:val="24"/>
        </w:rPr>
        <w:t>et des critères retenus</w:t>
      </w:r>
      <w:r w:rsidR="00CC5445">
        <w:rPr>
          <w:rFonts w:ascii="Times New Roman" w:hAnsi="Times New Roman" w:cs="Times New Roman"/>
          <w:sz w:val="24"/>
          <w:szCs w:val="24"/>
        </w:rPr>
        <w:t xml:space="preserve"> </w:t>
      </w:r>
      <w:r w:rsidR="00777631">
        <w:rPr>
          <w:rFonts w:ascii="Times New Roman" w:hAnsi="Times New Roman" w:cs="Times New Roman"/>
          <w:sz w:val="24"/>
          <w:szCs w:val="24"/>
        </w:rPr>
        <w:t xml:space="preserve">pour privilégier un site par rapport aux autres </w:t>
      </w:r>
      <w:r w:rsidR="00A87F04">
        <w:rPr>
          <w:rFonts w:ascii="Times New Roman" w:hAnsi="Times New Roman" w:cs="Times New Roman"/>
          <w:sz w:val="24"/>
          <w:szCs w:val="24"/>
        </w:rPr>
        <w:t>qui ont été examiné</w:t>
      </w:r>
      <w:r w:rsidR="00777631" w:rsidRPr="00777631">
        <w:rPr>
          <w:rFonts w:ascii="Times New Roman" w:hAnsi="Times New Roman" w:cs="Times New Roman"/>
          <w:sz w:val="24"/>
          <w:szCs w:val="24"/>
        </w:rPr>
        <w:t>s</w:t>
      </w:r>
      <w:r w:rsidR="00777631">
        <w:rPr>
          <w:rFonts w:ascii="Times New Roman" w:hAnsi="Times New Roman" w:cs="Times New Roman"/>
          <w:sz w:val="24"/>
          <w:szCs w:val="24"/>
        </w:rPr>
        <w:t xml:space="preserve">. </w:t>
      </w:r>
    </w:p>
    <w:p w14:paraId="344A87C5" w14:textId="77777777" w:rsidR="00B14D35" w:rsidRDefault="00B14D35" w:rsidP="00866821">
      <w:pPr>
        <w:tabs>
          <w:tab w:val="left" w:pos="1560"/>
        </w:tabs>
        <w:spacing w:after="0" w:line="240" w:lineRule="auto"/>
        <w:ind w:firstLine="851"/>
        <w:jc w:val="both"/>
        <w:rPr>
          <w:rFonts w:ascii="Times New Roman" w:hAnsi="Times New Roman" w:cs="Times New Roman"/>
          <w:sz w:val="24"/>
          <w:szCs w:val="24"/>
        </w:rPr>
      </w:pPr>
    </w:p>
    <w:p w14:paraId="7B9AF949" w14:textId="603B9C21" w:rsidR="00CC5445" w:rsidRDefault="00B14D35" w:rsidP="00604E5B">
      <w:pPr>
        <w:tabs>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00E41E3A">
        <w:rPr>
          <w:rFonts w:ascii="Times New Roman" w:hAnsi="Times New Roman" w:cs="Times New Roman"/>
          <w:sz w:val="24"/>
          <w:szCs w:val="24"/>
        </w:rPr>
        <w:t>5</w:t>
      </w:r>
      <w:r>
        <w:rPr>
          <w:rFonts w:ascii="Times New Roman" w:hAnsi="Times New Roman" w:cs="Times New Roman"/>
          <w:sz w:val="24"/>
          <w:szCs w:val="24"/>
        </w:rPr>
        <w:t xml:space="preserve">. </w:t>
      </w:r>
      <w:r w:rsidR="00777631">
        <w:rPr>
          <w:rFonts w:ascii="Times New Roman" w:hAnsi="Times New Roman" w:cs="Times New Roman"/>
          <w:sz w:val="24"/>
          <w:szCs w:val="24"/>
        </w:rPr>
        <w:t xml:space="preserve">En tout état de </w:t>
      </w:r>
      <w:r w:rsidR="00547FAD">
        <w:rPr>
          <w:rFonts w:ascii="Times New Roman" w:hAnsi="Times New Roman" w:cs="Times New Roman"/>
          <w:sz w:val="24"/>
          <w:szCs w:val="24"/>
        </w:rPr>
        <w:t>cause</w:t>
      </w:r>
      <w:r>
        <w:rPr>
          <w:rFonts w:ascii="Times New Roman" w:hAnsi="Times New Roman" w:cs="Times New Roman"/>
          <w:sz w:val="24"/>
          <w:szCs w:val="24"/>
        </w:rPr>
        <w:t>,</w:t>
      </w:r>
      <w:r w:rsidR="00866821">
        <w:rPr>
          <w:rFonts w:ascii="Times New Roman" w:hAnsi="Times New Roman" w:cs="Times New Roman"/>
          <w:sz w:val="24"/>
          <w:szCs w:val="24"/>
        </w:rPr>
        <w:t xml:space="preserve"> </w:t>
      </w:r>
      <w:r w:rsidR="00547FAD">
        <w:rPr>
          <w:rFonts w:ascii="Times New Roman" w:hAnsi="Times New Roman" w:cs="Times New Roman"/>
          <w:sz w:val="24"/>
          <w:szCs w:val="24"/>
        </w:rPr>
        <w:t xml:space="preserve">la seule recommandation émise par la </w:t>
      </w:r>
      <w:proofErr w:type="spellStart"/>
      <w:r w:rsidR="00547FAD">
        <w:rPr>
          <w:rFonts w:ascii="Times New Roman" w:hAnsi="Times New Roman" w:cs="Times New Roman"/>
          <w:sz w:val="24"/>
          <w:szCs w:val="24"/>
        </w:rPr>
        <w:t>MRAe</w:t>
      </w:r>
      <w:proofErr w:type="spellEnd"/>
      <w:r w:rsidR="00547FAD">
        <w:rPr>
          <w:rFonts w:ascii="Times New Roman" w:hAnsi="Times New Roman" w:cs="Times New Roman"/>
          <w:sz w:val="24"/>
          <w:szCs w:val="24"/>
        </w:rPr>
        <w:t xml:space="preserve"> </w:t>
      </w:r>
      <w:r w:rsidR="00BC125D">
        <w:rPr>
          <w:rFonts w:ascii="Times New Roman" w:hAnsi="Times New Roman" w:cs="Times New Roman"/>
          <w:sz w:val="24"/>
          <w:szCs w:val="24"/>
        </w:rPr>
        <w:t xml:space="preserve">s’agissant de la réalisation préalable d’une étude des sites potentiels sur des surfaces bâties ou anthropisées n’est pas susceptible, à elle seule, d’entacher d’insuffisance ou d’incohérence l’étude d’impact litigieuse. En outre, </w:t>
      </w:r>
      <w:r w:rsidR="00866821">
        <w:rPr>
          <w:rFonts w:ascii="Times New Roman" w:hAnsi="Times New Roman" w:cs="Times New Roman"/>
          <w:sz w:val="24"/>
          <w:szCs w:val="24"/>
        </w:rPr>
        <w:t xml:space="preserve">il est constant </w:t>
      </w:r>
      <w:r w:rsidR="00604E5B">
        <w:rPr>
          <w:rFonts w:ascii="Times New Roman" w:hAnsi="Times New Roman" w:cs="Times New Roman"/>
          <w:sz w:val="24"/>
          <w:szCs w:val="24"/>
        </w:rPr>
        <w:t xml:space="preserve">que par le </w:t>
      </w:r>
      <w:r w:rsidR="00866821" w:rsidRPr="00866821">
        <w:rPr>
          <w:rFonts w:ascii="Times New Roman" w:hAnsi="Times New Roman" w:cs="Times New Roman"/>
          <w:sz w:val="24"/>
          <w:szCs w:val="24"/>
        </w:rPr>
        <w:t xml:space="preserve">mémoire </w:t>
      </w:r>
      <w:r w:rsidR="00604E5B">
        <w:rPr>
          <w:rFonts w:ascii="Times New Roman" w:hAnsi="Times New Roman" w:cs="Times New Roman"/>
          <w:sz w:val="24"/>
          <w:szCs w:val="24"/>
        </w:rPr>
        <w:t>en réponse mentionné au point 41 de ce jugement</w:t>
      </w:r>
      <w:r w:rsidR="00866821" w:rsidRPr="00866821">
        <w:rPr>
          <w:rFonts w:ascii="Times New Roman" w:hAnsi="Times New Roman" w:cs="Times New Roman"/>
          <w:sz w:val="24"/>
          <w:szCs w:val="24"/>
        </w:rPr>
        <w:t>, la SMEG et la métropole Nice Cote d’Azur ont apporté des compléments</w:t>
      </w:r>
      <w:r w:rsidR="00866821">
        <w:rPr>
          <w:rFonts w:ascii="Times New Roman" w:hAnsi="Times New Roman" w:cs="Times New Roman"/>
          <w:sz w:val="24"/>
          <w:szCs w:val="24"/>
        </w:rPr>
        <w:t xml:space="preserve"> quant au choix du secteur d’implantation retenu en publiant notamment, en annexe de ce mémoire en réponse, les résultats de l’analyse de l’ensemble des </w:t>
      </w:r>
      <w:r w:rsidR="00866821" w:rsidRPr="00866821">
        <w:rPr>
          <w:rFonts w:ascii="Times New Roman" w:hAnsi="Times New Roman" w:cs="Times New Roman"/>
          <w:sz w:val="24"/>
          <w:szCs w:val="24"/>
        </w:rPr>
        <w:t>sites mobilisables en</w:t>
      </w:r>
      <w:r w:rsidR="00866821">
        <w:rPr>
          <w:rFonts w:ascii="Times New Roman" w:hAnsi="Times New Roman" w:cs="Times New Roman"/>
          <w:sz w:val="24"/>
          <w:szCs w:val="24"/>
        </w:rPr>
        <w:t xml:space="preserve"> zone agricole et naturelle, notamment en ce qui concerne le volet </w:t>
      </w:r>
      <w:r w:rsidR="00866821" w:rsidRPr="00866821">
        <w:rPr>
          <w:rFonts w:ascii="Times New Roman" w:hAnsi="Times New Roman" w:cs="Times New Roman"/>
          <w:sz w:val="24"/>
          <w:szCs w:val="24"/>
        </w:rPr>
        <w:t>biodiversité</w:t>
      </w:r>
      <w:r w:rsidR="00866821">
        <w:rPr>
          <w:rFonts w:ascii="Times New Roman" w:hAnsi="Times New Roman" w:cs="Times New Roman"/>
          <w:sz w:val="24"/>
          <w:szCs w:val="24"/>
        </w:rPr>
        <w:t xml:space="preserve">, sans que l’association requérante </w:t>
      </w:r>
      <w:r>
        <w:rPr>
          <w:rFonts w:ascii="Times New Roman" w:hAnsi="Times New Roman" w:cs="Times New Roman"/>
          <w:sz w:val="24"/>
          <w:szCs w:val="24"/>
        </w:rPr>
        <w:t>ne conteste ni même ne fasse</w:t>
      </w:r>
      <w:r w:rsidR="00866821" w:rsidRPr="00866821">
        <w:rPr>
          <w:rFonts w:ascii="Times New Roman" w:hAnsi="Times New Roman" w:cs="Times New Roman"/>
          <w:sz w:val="24"/>
          <w:szCs w:val="24"/>
        </w:rPr>
        <w:t xml:space="preserve"> état de ce complément d’informations qui figurait dans le dossier soumis à l’enquête publique qui s’est déroulée du 6 novembre 2023 au 7 décembre 2023</w:t>
      </w:r>
      <w:r>
        <w:rPr>
          <w:rFonts w:ascii="Times New Roman" w:hAnsi="Times New Roman" w:cs="Times New Roman"/>
          <w:sz w:val="24"/>
          <w:szCs w:val="24"/>
        </w:rPr>
        <w:t xml:space="preserve">. </w:t>
      </w:r>
      <w:r w:rsidR="00BC125D">
        <w:rPr>
          <w:rFonts w:ascii="Times New Roman" w:hAnsi="Times New Roman" w:cs="Times New Roman"/>
          <w:sz w:val="24"/>
          <w:szCs w:val="24"/>
        </w:rPr>
        <w:t xml:space="preserve">Enfin, </w:t>
      </w:r>
      <w:r w:rsidR="00594A36">
        <w:rPr>
          <w:rFonts w:ascii="Times New Roman" w:hAnsi="Times New Roman" w:cs="Times New Roman"/>
          <w:sz w:val="24"/>
          <w:szCs w:val="24"/>
        </w:rPr>
        <w:t xml:space="preserve">et </w:t>
      </w:r>
      <w:r>
        <w:rPr>
          <w:rFonts w:ascii="Times New Roman" w:hAnsi="Times New Roman" w:cs="Times New Roman"/>
          <w:sz w:val="24"/>
          <w:szCs w:val="24"/>
        </w:rPr>
        <w:t xml:space="preserve">à supposer que les insuffisances et incohérences alléguées </w:t>
      </w:r>
      <w:r w:rsidRPr="00B14D35">
        <w:rPr>
          <w:rFonts w:ascii="Times New Roman" w:hAnsi="Times New Roman" w:cs="Times New Roman"/>
          <w:sz w:val="24"/>
          <w:szCs w:val="24"/>
        </w:rPr>
        <w:t xml:space="preserve">tant </w:t>
      </w:r>
      <w:r>
        <w:rPr>
          <w:rFonts w:ascii="Times New Roman" w:hAnsi="Times New Roman" w:cs="Times New Roman"/>
          <w:sz w:val="24"/>
          <w:szCs w:val="24"/>
        </w:rPr>
        <w:t xml:space="preserve">par </w:t>
      </w:r>
      <w:r w:rsidRPr="00B14D35">
        <w:rPr>
          <w:rFonts w:ascii="Times New Roman" w:hAnsi="Times New Roman" w:cs="Times New Roman"/>
          <w:sz w:val="24"/>
          <w:szCs w:val="24"/>
        </w:rPr>
        <w:t xml:space="preserve">la </w:t>
      </w:r>
      <w:proofErr w:type="spellStart"/>
      <w:r w:rsidRPr="00B14D35">
        <w:rPr>
          <w:rFonts w:ascii="Times New Roman" w:hAnsi="Times New Roman" w:cs="Times New Roman"/>
          <w:sz w:val="24"/>
          <w:szCs w:val="24"/>
        </w:rPr>
        <w:t>MRAe</w:t>
      </w:r>
      <w:proofErr w:type="spellEnd"/>
      <w:r w:rsidRPr="00B14D35">
        <w:rPr>
          <w:rFonts w:ascii="Times New Roman" w:hAnsi="Times New Roman" w:cs="Times New Roman"/>
          <w:sz w:val="24"/>
          <w:szCs w:val="24"/>
        </w:rPr>
        <w:t xml:space="preserve"> que </w:t>
      </w:r>
      <w:r>
        <w:rPr>
          <w:rFonts w:ascii="Times New Roman" w:hAnsi="Times New Roman" w:cs="Times New Roman"/>
          <w:sz w:val="24"/>
          <w:szCs w:val="24"/>
        </w:rPr>
        <w:t xml:space="preserve">par </w:t>
      </w:r>
      <w:r w:rsidRPr="00B14D35">
        <w:rPr>
          <w:rFonts w:ascii="Times New Roman" w:hAnsi="Times New Roman" w:cs="Times New Roman"/>
          <w:sz w:val="24"/>
          <w:szCs w:val="24"/>
        </w:rPr>
        <w:t>le CNPN</w:t>
      </w:r>
      <w:r w:rsidR="00BC125D">
        <w:rPr>
          <w:rFonts w:ascii="Times New Roman" w:hAnsi="Times New Roman" w:cs="Times New Roman"/>
          <w:sz w:val="24"/>
          <w:szCs w:val="24"/>
        </w:rPr>
        <w:t xml:space="preserve"> </w:t>
      </w:r>
      <w:r w:rsidR="00BC125D">
        <w:rPr>
          <w:rFonts w:ascii="Times New Roman" w:hAnsi="Times New Roman" w:cs="Times New Roman"/>
          <w:sz w:val="24"/>
          <w:szCs w:val="24"/>
        </w:rPr>
        <w:lastRenderedPageBreak/>
        <w:t xml:space="preserve">dans les conditions mentionnées au point précédent </w:t>
      </w:r>
      <w:r>
        <w:rPr>
          <w:rFonts w:ascii="Times New Roman" w:hAnsi="Times New Roman" w:cs="Times New Roman"/>
          <w:sz w:val="24"/>
          <w:szCs w:val="24"/>
        </w:rPr>
        <w:t>n’auraie</w:t>
      </w:r>
      <w:r w:rsidR="00BC125D">
        <w:rPr>
          <w:rFonts w:ascii="Times New Roman" w:hAnsi="Times New Roman" w:cs="Times New Roman"/>
          <w:sz w:val="24"/>
          <w:szCs w:val="24"/>
        </w:rPr>
        <w:t>nt pas été régularisées par c</w:t>
      </w:r>
      <w:r>
        <w:rPr>
          <w:rFonts w:ascii="Times New Roman" w:hAnsi="Times New Roman" w:cs="Times New Roman"/>
          <w:sz w:val="24"/>
          <w:szCs w:val="24"/>
        </w:rPr>
        <w:t>es éléments de réponse apportés par la société pétitionnaire et la métropole Nice Côte d’Azur, il ne ressort d’aucune pièce du dossier que de telles réserves,</w:t>
      </w:r>
      <w:r w:rsidR="00777631">
        <w:rPr>
          <w:rFonts w:ascii="Times New Roman" w:hAnsi="Times New Roman" w:cs="Times New Roman"/>
          <w:sz w:val="24"/>
          <w:szCs w:val="24"/>
        </w:rPr>
        <w:t xml:space="preserve"> </w:t>
      </w:r>
      <w:r w:rsidR="00594A36">
        <w:rPr>
          <w:rFonts w:ascii="Times New Roman" w:hAnsi="Times New Roman" w:cs="Times New Roman"/>
          <w:sz w:val="24"/>
          <w:szCs w:val="24"/>
        </w:rPr>
        <w:t xml:space="preserve">figurant dans des avis </w:t>
      </w:r>
      <w:r w:rsidR="00777631">
        <w:rPr>
          <w:rFonts w:ascii="Times New Roman" w:hAnsi="Times New Roman" w:cs="Times New Roman"/>
          <w:sz w:val="24"/>
          <w:szCs w:val="24"/>
        </w:rPr>
        <w:t xml:space="preserve">mis à disposition du public, </w:t>
      </w:r>
      <w:r w:rsidR="00777631" w:rsidRPr="00777631">
        <w:rPr>
          <w:rFonts w:ascii="Times New Roman" w:hAnsi="Times New Roman" w:cs="Times New Roman"/>
          <w:sz w:val="24"/>
          <w:szCs w:val="24"/>
        </w:rPr>
        <w:t>ai</w:t>
      </w:r>
      <w:r w:rsidR="00777631">
        <w:rPr>
          <w:rFonts w:ascii="Times New Roman" w:hAnsi="Times New Roman" w:cs="Times New Roman"/>
          <w:sz w:val="24"/>
          <w:szCs w:val="24"/>
        </w:rPr>
        <w:t>en</w:t>
      </w:r>
      <w:r>
        <w:rPr>
          <w:rFonts w:ascii="Times New Roman" w:hAnsi="Times New Roman" w:cs="Times New Roman"/>
          <w:sz w:val="24"/>
          <w:szCs w:val="24"/>
        </w:rPr>
        <w:t xml:space="preserve">t eu pour effet de nuire à son </w:t>
      </w:r>
      <w:r w:rsidR="00777631" w:rsidRPr="00777631">
        <w:rPr>
          <w:rFonts w:ascii="Times New Roman" w:hAnsi="Times New Roman" w:cs="Times New Roman"/>
          <w:sz w:val="24"/>
          <w:szCs w:val="24"/>
        </w:rPr>
        <w:t>information complète ou ai</w:t>
      </w:r>
      <w:r>
        <w:rPr>
          <w:rFonts w:ascii="Times New Roman" w:hAnsi="Times New Roman" w:cs="Times New Roman"/>
          <w:sz w:val="24"/>
          <w:szCs w:val="24"/>
        </w:rPr>
        <w:t>en</w:t>
      </w:r>
      <w:r w:rsidR="00777631" w:rsidRPr="00777631">
        <w:rPr>
          <w:rFonts w:ascii="Times New Roman" w:hAnsi="Times New Roman" w:cs="Times New Roman"/>
          <w:sz w:val="24"/>
          <w:szCs w:val="24"/>
        </w:rPr>
        <w:t xml:space="preserve">t été de nature à exercer une influence sur la décision </w:t>
      </w:r>
      <w:r w:rsidR="00604E5B">
        <w:rPr>
          <w:rFonts w:ascii="Times New Roman" w:hAnsi="Times New Roman" w:cs="Times New Roman"/>
          <w:sz w:val="24"/>
          <w:szCs w:val="24"/>
        </w:rPr>
        <w:t>attaquée</w:t>
      </w:r>
      <w:r w:rsidR="00777631" w:rsidRPr="00777631">
        <w:rPr>
          <w:rFonts w:ascii="Times New Roman" w:hAnsi="Times New Roman" w:cs="Times New Roman"/>
          <w:sz w:val="24"/>
          <w:szCs w:val="24"/>
        </w:rPr>
        <w:t>.</w:t>
      </w:r>
      <w:r w:rsidR="00777631">
        <w:rPr>
          <w:rFonts w:ascii="Times New Roman" w:hAnsi="Times New Roman" w:cs="Times New Roman"/>
          <w:sz w:val="24"/>
          <w:szCs w:val="24"/>
        </w:rPr>
        <w:t xml:space="preserve"> Cette branche du moyen tiré de l’insuffisance de l’étude d’impact doit alors être écartée. </w:t>
      </w:r>
    </w:p>
    <w:p w14:paraId="0D593DE5" w14:textId="763D981F" w:rsidR="00BC094F" w:rsidRDefault="00BC094F" w:rsidP="00D2487E">
      <w:pPr>
        <w:spacing w:after="0" w:line="240" w:lineRule="auto"/>
        <w:jc w:val="both"/>
        <w:rPr>
          <w:rFonts w:ascii="Times New Roman" w:eastAsia="Times New Roman" w:hAnsi="Times New Roman" w:cs="Times New Roman"/>
          <w:b/>
          <w:color w:val="000000" w:themeColor="text1"/>
          <w:sz w:val="24"/>
          <w:szCs w:val="24"/>
          <w:u w:val="single"/>
          <w:lang w:eastAsia="fr-FR"/>
        </w:rPr>
      </w:pPr>
    </w:p>
    <w:p w14:paraId="61CB2560" w14:textId="3C39FE49" w:rsidR="00C80B32" w:rsidRDefault="00273E52" w:rsidP="00604E5B">
      <w:pPr>
        <w:spacing w:after="0" w:line="240" w:lineRule="auto"/>
        <w:jc w:val="both"/>
        <w:rPr>
          <w:rFonts w:ascii="Times New Roman" w:eastAsia="Times New Roman" w:hAnsi="Times New Roman" w:cs="Times New Roman"/>
          <w:b/>
          <w:color w:val="000000" w:themeColor="text1"/>
          <w:sz w:val="24"/>
          <w:szCs w:val="24"/>
          <w:u w:val="single"/>
          <w:lang w:eastAsia="fr-FR"/>
        </w:rPr>
      </w:pPr>
      <w:r w:rsidRPr="00273E52">
        <w:rPr>
          <w:rFonts w:ascii="Times New Roman" w:eastAsia="Times New Roman" w:hAnsi="Times New Roman" w:cs="Times New Roman"/>
          <w:b/>
          <w:color w:val="000000" w:themeColor="text1"/>
          <w:sz w:val="24"/>
          <w:szCs w:val="24"/>
          <w:u w:val="single"/>
          <w:lang w:eastAsia="fr-FR"/>
        </w:rPr>
        <w:t xml:space="preserve">Sur le moyen tiré de la </w:t>
      </w:r>
      <w:r w:rsidR="00D2487E">
        <w:rPr>
          <w:rFonts w:ascii="Times New Roman" w:eastAsia="Times New Roman" w:hAnsi="Times New Roman" w:cs="Times New Roman"/>
          <w:b/>
          <w:color w:val="000000" w:themeColor="text1"/>
          <w:sz w:val="24"/>
          <w:szCs w:val="24"/>
          <w:u w:val="single"/>
          <w:lang w:eastAsia="fr-FR"/>
        </w:rPr>
        <w:t xml:space="preserve">prétendue </w:t>
      </w:r>
      <w:r w:rsidRPr="00273E52">
        <w:rPr>
          <w:rFonts w:ascii="Times New Roman" w:eastAsia="Times New Roman" w:hAnsi="Times New Roman" w:cs="Times New Roman"/>
          <w:b/>
          <w:color w:val="000000" w:themeColor="text1"/>
          <w:sz w:val="24"/>
          <w:szCs w:val="24"/>
          <w:u w:val="single"/>
          <w:lang w:eastAsia="fr-FR"/>
        </w:rPr>
        <w:t xml:space="preserve">méconnaissance de l’article R. 111-26 du code de l’urbanisme : </w:t>
      </w:r>
    </w:p>
    <w:p w14:paraId="17DD0E1D" w14:textId="7C8A5426" w:rsidR="00D2487E" w:rsidRDefault="00D2487E" w:rsidP="00C80B32">
      <w:pPr>
        <w:spacing w:after="0" w:line="240" w:lineRule="auto"/>
        <w:ind w:firstLine="851"/>
        <w:jc w:val="both"/>
        <w:rPr>
          <w:rFonts w:ascii="Times New Roman" w:eastAsia="Times New Roman" w:hAnsi="Times New Roman" w:cs="Times New Roman"/>
          <w:b/>
          <w:color w:val="000000" w:themeColor="text1"/>
          <w:sz w:val="24"/>
          <w:szCs w:val="24"/>
          <w:u w:val="single"/>
          <w:lang w:eastAsia="fr-FR"/>
        </w:rPr>
      </w:pPr>
    </w:p>
    <w:p w14:paraId="61CB2E83" w14:textId="05A4D7C5" w:rsidR="00D2487E" w:rsidRDefault="00E41E3A" w:rsidP="00C80B32">
      <w:pPr>
        <w:spacing w:after="0" w:line="240" w:lineRule="auto"/>
        <w:ind w:firstLine="851"/>
        <w:jc w:val="both"/>
        <w:rPr>
          <w:rFonts w:ascii="Times New Roman" w:hAnsi="Times New Roman"/>
          <w:sz w:val="24"/>
          <w:szCs w:val="24"/>
        </w:rPr>
      </w:pPr>
      <w:r>
        <w:rPr>
          <w:rFonts w:ascii="Times New Roman" w:eastAsia="Times New Roman" w:hAnsi="Times New Roman" w:cs="Times New Roman"/>
          <w:color w:val="000000" w:themeColor="text1"/>
          <w:sz w:val="24"/>
          <w:szCs w:val="24"/>
          <w:lang w:eastAsia="fr-FR"/>
        </w:rPr>
        <w:t>46</w:t>
      </w:r>
      <w:r w:rsidR="00D2487E">
        <w:rPr>
          <w:rFonts w:ascii="Times New Roman" w:eastAsia="Times New Roman" w:hAnsi="Times New Roman" w:cs="Times New Roman"/>
          <w:color w:val="000000" w:themeColor="text1"/>
          <w:sz w:val="24"/>
          <w:szCs w:val="24"/>
          <w:lang w:eastAsia="fr-FR"/>
        </w:rPr>
        <w:t xml:space="preserve">. </w:t>
      </w:r>
      <w:r w:rsidR="00D2487E" w:rsidRPr="000771F4">
        <w:rPr>
          <w:rFonts w:ascii="Times New Roman" w:hAnsi="Times New Roman"/>
          <w:sz w:val="24"/>
          <w:szCs w:val="24"/>
        </w:rPr>
        <w:t>Aux termes de l’article R. 111-26 du code de l’urbanisme : « </w:t>
      </w:r>
      <w:r w:rsidR="00D2487E" w:rsidRPr="000771F4">
        <w:rPr>
          <w:rFonts w:ascii="Times New Roman" w:hAnsi="Times New Roman"/>
          <w:i/>
          <w:sz w:val="24"/>
          <w:szCs w:val="24"/>
        </w:rPr>
        <w:t>Le permis ou la décision prise sur la déclaration préalable doit respecter les préoccupations d'environnement définies aux</w:t>
      </w:r>
      <w:r w:rsidR="00D2487E" w:rsidRPr="00277697">
        <w:rPr>
          <w:rFonts w:ascii="Times New Roman" w:hAnsi="Times New Roman"/>
          <w:i/>
          <w:sz w:val="24"/>
          <w:szCs w:val="24"/>
        </w:rPr>
        <w:t xml:space="preserve"> articles L. 110-1 et L. 110-2 du code de l'environnement. Le projet peut n'être accepté que sous réserve de l'observation de prescriptions spéciales si, par son importance, sa situation ou sa destination, il est de nature à avoir des conséquences dommageables pour l'environnement. Ces prescriptions spéciales tiennent compte, le cas échéant, des mesures mentionnées à l'article R. 181-43 du code de l'environnement</w:t>
      </w:r>
      <w:r w:rsidR="00D2487E" w:rsidRPr="00277697">
        <w:rPr>
          <w:rFonts w:ascii="Times New Roman" w:hAnsi="Times New Roman"/>
          <w:sz w:val="24"/>
          <w:szCs w:val="24"/>
        </w:rPr>
        <w:t> ».</w:t>
      </w:r>
    </w:p>
    <w:p w14:paraId="2CD31DE4" w14:textId="06DCA954" w:rsidR="00D2487E" w:rsidRDefault="00D2487E" w:rsidP="00C80B32">
      <w:pPr>
        <w:spacing w:after="0" w:line="240" w:lineRule="auto"/>
        <w:ind w:firstLine="851"/>
        <w:jc w:val="both"/>
        <w:rPr>
          <w:rFonts w:ascii="Times New Roman" w:hAnsi="Times New Roman"/>
          <w:sz w:val="24"/>
          <w:szCs w:val="24"/>
        </w:rPr>
      </w:pPr>
    </w:p>
    <w:p w14:paraId="5A58BAD4" w14:textId="27F4762B" w:rsidR="00D2487E" w:rsidRDefault="00E41E3A" w:rsidP="00C80B32">
      <w:pPr>
        <w:spacing w:after="0" w:line="240" w:lineRule="auto"/>
        <w:ind w:firstLine="851"/>
        <w:jc w:val="both"/>
        <w:rPr>
          <w:rFonts w:ascii="Times New Roman" w:hAnsi="Times New Roman"/>
          <w:sz w:val="24"/>
          <w:szCs w:val="24"/>
        </w:rPr>
      </w:pPr>
      <w:r>
        <w:rPr>
          <w:rFonts w:ascii="Times New Roman" w:hAnsi="Times New Roman"/>
          <w:sz w:val="24"/>
          <w:szCs w:val="24"/>
        </w:rPr>
        <w:t>47</w:t>
      </w:r>
      <w:r w:rsidR="00D2487E">
        <w:rPr>
          <w:rFonts w:ascii="Times New Roman" w:hAnsi="Times New Roman"/>
          <w:sz w:val="24"/>
          <w:szCs w:val="24"/>
        </w:rPr>
        <w:t xml:space="preserve">. Les </w:t>
      </w:r>
      <w:r w:rsidR="00D2487E" w:rsidRPr="00D2487E">
        <w:rPr>
          <w:rFonts w:ascii="Times New Roman" w:hAnsi="Times New Roman"/>
          <w:sz w:val="24"/>
          <w:szCs w:val="24"/>
        </w:rPr>
        <w:t>dispositions citées au point précédent ne permettent pas à l’autorité administrative de refuser un permis de construire, mais seulement de l’accorder sous réserve du respect de prescriptions spéciales relevant de la police de l’urbanisme, telles que celles relatives à l’implantation ou aux caractéristiques des bâtiments et de leurs abords, si le projet de construction est de nature à avoir des conséquences dommageables pour l’environnement.</w:t>
      </w:r>
    </w:p>
    <w:p w14:paraId="43F76076" w14:textId="3C4AAC14" w:rsidR="00D2487E" w:rsidRDefault="00D2487E" w:rsidP="00C80B32">
      <w:pPr>
        <w:spacing w:after="0" w:line="240" w:lineRule="auto"/>
        <w:ind w:firstLine="851"/>
        <w:jc w:val="both"/>
        <w:rPr>
          <w:rFonts w:ascii="Times New Roman" w:hAnsi="Times New Roman"/>
          <w:sz w:val="24"/>
          <w:szCs w:val="24"/>
        </w:rPr>
      </w:pPr>
    </w:p>
    <w:p w14:paraId="17B85ED9" w14:textId="1E1BA2E6" w:rsidR="00D2487E" w:rsidRPr="00D2487E" w:rsidRDefault="00E41E3A" w:rsidP="00C80B32">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hAnsi="Times New Roman"/>
          <w:sz w:val="24"/>
          <w:szCs w:val="24"/>
        </w:rPr>
        <w:t>48</w:t>
      </w:r>
      <w:r w:rsidR="00D2487E">
        <w:rPr>
          <w:rFonts w:ascii="Times New Roman" w:hAnsi="Times New Roman"/>
          <w:sz w:val="24"/>
          <w:szCs w:val="24"/>
        </w:rPr>
        <w:t xml:space="preserve">. </w:t>
      </w:r>
      <w:r w:rsidR="00D2487E" w:rsidRPr="00D2487E">
        <w:rPr>
          <w:rFonts w:ascii="Times New Roman" w:hAnsi="Times New Roman"/>
          <w:sz w:val="24"/>
          <w:szCs w:val="24"/>
        </w:rPr>
        <w:t>En l’espèce, il ressort des termes même de l’arrêté attaqué du 1</w:t>
      </w:r>
      <w:r w:rsidR="00D2487E" w:rsidRPr="00D2487E">
        <w:rPr>
          <w:rFonts w:ascii="Times New Roman" w:hAnsi="Times New Roman"/>
          <w:sz w:val="24"/>
          <w:szCs w:val="24"/>
          <w:vertAlign w:val="superscript"/>
        </w:rPr>
        <w:t>er</w:t>
      </w:r>
      <w:r w:rsidR="00D2487E" w:rsidRPr="00D2487E">
        <w:rPr>
          <w:rFonts w:ascii="Times New Roman" w:hAnsi="Times New Roman"/>
          <w:sz w:val="24"/>
          <w:szCs w:val="24"/>
        </w:rPr>
        <w:t xml:space="preserve"> mars 2024 que ledit arrêté prévoit, à son article 3, que le permis de construire litigieux est délivré sous réserve du strict respect des mesures d’évitement, de réduction et de compensation de l’impact environnemental et agricole du projet qu’il autorise ainsi que des mesures de suivi associées, dont l’ensemble a été détaillé dans l’étude d’impact annexée à la demande de p</w:t>
      </w:r>
      <w:r w:rsidR="00D2487E">
        <w:rPr>
          <w:rFonts w:ascii="Times New Roman" w:hAnsi="Times New Roman"/>
          <w:sz w:val="24"/>
          <w:szCs w:val="24"/>
        </w:rPr>
        <w:t>ermis de construire. S</w:t>
      </w:r>
      <w:r w:rsidR="00D2487E" w:rsidRPr="00D2487E">
        <w:rPr>
          <w:rFonts w:ascii="Times New Roman" w:hAnsi="Times New Roman"/>
          <w:sz w:val="24"/>
          <w:szCs w:val="24"/>
        </w:rPr>
        <w:t xml:space="preserve">i </w:t>
      </w:r>
      <w:r w:rsidR="00890C15">
        <w:rPr>
          <w:rFonts w:ascii="Times New Roman" w:hAnsi="Times New Roman"/>
          <w:sz w:val="24"/>
          <w:szCs w:val="24"/>
        </w:rPr>
        <w:t>l’association requérante soutient</w:t>
      </w:r>
      <w:r w:rsidR="00D2487E" w:rsidRPr="00604E5B">
        <w:rPr>
          <w:rFonts w:ascii="Times New Roman" w:hAnsi="Times New Roman"/>
          <w:sz w:val="24"/>
          <w:szCs w:val="24"/>
        </w:rPr>
        <w:t xml:space="preserve"> que le préfet des Alpes-Maritimes n’a pas édicté de prescriptions de nature à pallier les insuffisances de l’étude d’impact mentionnées</w:t>
      </w:r>
      <w:r w:rsidR="00604E5B" w:rsidRPr="00604E5B">
        <w:rPr>
          <w:rFonts w:ascii="Times New Roman" w:hAnsi="Times New Roman"/>
          <w:sz w:val="24"/>
          <w:szCs w:val="24"/>
        </w:rPr>
        <w:t xml:space="preserve"> aux </w:t>
      </w:r>
      <w:r w:rsidR="00D2487E" w:rsidRPr="00604E5B">
        <w:rPr>
          <w:rFonts w:ascii="Times New Roman" w:hAnsi="Times New Roman"/>
          <w:sz w:val="24"/>
          <w:szCs w:val="24"/>
        </w:rPr>
        <w:t>point</w:t>
      </w:r>
      <w:r w:rsidR="00604E5B" w:rsidRPr="00604E5B">
        <w:rPr>
          <w:rFonts w:ascii="Times New Roman" w:hAnsi="Times New Roman"/>
          <w:sz w:val="24"/>
          <w:szCs w:val="24"/>
        </w:rPr>
        <w:t>s 26 à 28 du jugement</w:t>
      </w:r>
      <w:r w:rsidR="00D2487E" w:rsidRPr="00604E5B">
        <w:rPr>
          <w:rFonts w:ascii="Times New Roman" w:hAnsi="Times New Roman"/>
          <w:sz w:val="24"/>
          <w:szCs w:val="24"/>
        </w:rPr>
        <w:t>, de telles insuffisances ne sauraient, en tout état de cause, faire l’objet de prescriptions spéciales relevant de la police de l’urbanisme lesquelles se rattachent nécessairement aux conditions de construction du bâtiment projeté ou aux règles d’occupation du sol. Par suite, le moyen tiré de la méconnaissance des dispositions précitées de l’article R. 111-26 du code de l’urbanisme</w:t>
      </w:r>
      <w:r w:rsidR="00215C0B" w:rsidRPr="00604E5B">
        <w:rPr>
          <w:rFonts w:ascii="Times New Roman" w:hAnsi="Times New Roman"/>
          <w:sz w:val="24"/>
          <w:szCs w:val="24"/>
        </w:rPr>
        <w:t xml:space="preserve"> tel qu’il est soulevé par l’association requérante</w:t>
      </w:r>
      <w:r w:rsidR="00D2487E" w:rsidRPr="00604E5B">
        <w:rPr>
          <w:rFonts w:ascii="Times New Roman" w:hAnsi="Times New Roman"/>
          <w:sz w:val="24"/>
          <w:szCs w:val="24"/>
        </w:rPr>
        <w:t xml:space="preserve"> doit être écarté.</w:t>
      </w:r>
    </w:p>
    <w:p w14:paraId="5F8BD368" w14:textId="2283EFD1" w:rsidR="00273E52" w:rsidRDefault="00273E52" w:rsidP="00C80B32">
      <w:pPr>
        <w:spacing w:after="0" w:line="240" w:lineRule="auto"/>
        <w:ind w:firstLine="851"/>
        <w:jc w:val="both"/>
        <w:rPr>
          <w:rFonts w:ascii="Times New Roman" w:eastAsia="Times New Roman" w:hAnsi="Times New Roman" w:cs="Times New Roman"/>
          <w:b/>
          <w:color w:val="000000" w:themeColor="text1"/>
          <w:sz w:val="24"/>
          <w:szCs w:val="24"/>
          <w:u w:val="single"/>
          <w:lang w:eastAsia="fr-FR"/>
        </w:rPr>
      </w:pPr>
    </w:p>
    <w:p w14:paraId="3A93E9EF" w14:textId="785CA4ED" w:rsidR="00273E52" w:rsidRDefault="00273E52" w:rsidP="00604E5B">
      <w:pPr>
        <w:spacing w:after="0" w:line="240" w:lineRule="auto"/>
        <w:jc w:val="both"/>
        <w:rPr>
          <w:rFonts w:ascii="Times New Roman" w:eastAsia="Times New Roman" w:hAnsi="Times New Roman" w:cs="Times New Roman"/>
          <w:b/>
          <w:color w:val="000000" w:themeColor="text1"/>
          <w:sz w:val="24"/>
          <w:szCs w:val="24"/>
          <w:u w:val="single"/>
          <w:lang w:eastAsia="fr-FR"/>
        </w:rPr>
      </w:pPr>
      <w:r>
        <w:rPr>
          <w:rFonts w:ascii="Times New Roman" w:eastAsia="Times New Roman" w:hAnsi="Times New Roman" w:cs="Times New Roman"/>
          <w:b/>
          <w:color w:val="000000" w:themeColor="text1"/>
          <w:sz w:val="24"/>
          <w:szCs w:val="24"/>
          <w:u w:val="single"/>
          <w:lang w:eastAsia="fr-FR"/>
        </w:rPr>
        <w:t xml:space="preserve">Sur le moyen </w:t>
      </w:r>
      <w:r w:rsidR="003B6BC3">
        <w:rPr>
          <w:rFonts w:ascii="Times New Roman" w:eastAsia="Times New Roman" w:hAnsi="Times New Roman" w:cs="Times New Roman"/>
          <w:b/>
          <w:color w:val="000000" w:themeColor="text1"/>
          <w:sz w:val="24"/>
          <w:szCs w:val="24"/>
          <w:u w:val="single"/>
          <w:lang w:eastAsia="fr-FR"/>
        </w:rPr>
        <w:t xml:space="preserve">tiré de la prétendue méconnaissance de l’article L. 122-1-1 du code de l’environnement : </w:t>
      </w:r>
    </w:p>
    <w:p w14:paraId="15300532" w14:textId="208A4AF0" w:rsidR="003B6BC3" w:rsidRDefault="003B6BC3" w:rsidP="00C80B32">
      <w:pPr>
        <w:spacing w:after="0" w:line="240" w:lineRule="auto"/>
        <w:ind w:firstLine="851"/>
        <w:jc w:val="both"/>
        <w:rPr>
          <w:rFonts w:ascii="Times New Roman" w:eastAsia="Times New Roman" w:hAnsi="Times New Roman" w:cs="Times New Roman"/>
          <w:b/>
          <w:color w:val="000000" w:themeColor="text1"/>
          <w:sz w:val="24"/>
          <w:szCs w:val="24"/>
          <w:u w:val="single"/>
          <w:lang w:eastAsia="fr-FR"/>
        </w:rPr>
      </w:pPr>
    </w:p>
    <w:p w14:paraId="25455E8C" w14:textId="4106F2E8" w:rsidR="003B6BC3" w:rsidRDefault="00E41E3A" w:rsidP="00E436D7">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49</w:t>
      </w:r>
      <w:r w:rsidR="003B6BC3" w:rsidRPr="003B6BC3">
        <w:rPr>
          <w:rFonts w:ascii="Times New Roman" w:eastAsia="Times New Roman" w:hAnsi="Times New Roman" w:cs="Times New Roman"/>
          <w:color w:val="000000" w:themeColor="text1"/>
          <w:sz w:val="24"/>
          <w:szCs w:val="24"/>
          <w:lang w:eastAsia="fr-FR"/>
        </w:rPr>
        <w:t xml:space="preserve">. Aux termes des dispositions </w:t>
      </w:r>
      <w:r w:rsidR="003B6BC3">
        <w:rPr>
          <w:rFonts w:ascii="Times New Roman" w:eastAsia="Times New Roman" w:hAnsi="Times New Roman" w:cs="Times New Roman"/>
          <w:color w:val="000000" w:themeColor="text1"/>
          <w:sz w:val="24"/>
          <w:szCs w:val="24"/>
          <w:lang w:eastAsia="fr-FR"/>
        </w:rPr>
        <w:t xml:space="preserve">du </w:t>
      </w:r>
      <w:r w:rsidR="003B6BC3" w:rsidRPr="003B6BC3">
        <w:rPr>
          <w:rFonts w:ascii="Times New Roman" w:eastAsia="Times New Roman" w:hAnsi="Times New Roman" w:cs="Times New Roman"/>
          <w:color w:val="000000" w:themeColor="text1"/>
          <w:sz w:val="24"/>
          <w:szCs w:val="24"/>
          <w:lang w:eastAsia="fr-FR"/>
        </w:rPr>
        <w:t xml:space="preserve">I de l’article L. 122-1-1 du code de l’environnement : « </w:t>
      </w:r>
      <w:r w:rsidR="003B6BC3" w:rsidRPr="003B6BC3">
        <w:rPr>
          <w:rFonts w:ascii="Times New Roman" w:eastAsia="Times New Roman" w:hAnsi="Times New Roman" w:cs="Times New Roman"/>
          <w:i/>
          <w:color w:val="000000" w:themeColor="text1"/>
          <w:sz w:val="24"/>
          <w:szCs w:val="24"/>
          <w:lang w:eastAsia="fr-FR"/>
        </w:rPr>
        <w:t xml:space="preserve">L'autorité compétente pour autoriser un projet soumis à évaluation environnementale prend en considération l'étude d'impact, l'avis des autorités mentionnées au V de l'article L. 122-1 ainsi que le résultat de la consultation du public et, le cas échéant, des consultations transfrontières. / La décision de l'autorité compétente est motivée au regard des incidences notables du projet sur l'environnement. Elle précise les prescriptions que devra respecter le maître d'ouvrage ainsi que les mesures et caractéristiques </w:t>
      </w:r>
      <w:proofErr w:type="gramStart"/>
      <w:r w:rsidR="003B6BC3" w:rsidRPr="003B6BC3">
        <w:rPr>
          <w:rFonts w:ascii="Times New Roman" w:eastAsia="Times New Roman" w:hAnsi="Times New Roman" w:cs="Times New Roman"/>
          <w:i/>
          <w:color w:val="000000" w:themeColor="text1"/>
          <w:sz w:val="24"/>
          <w:szCs w:val="24"/>
          <w:lang w:eastAsia="fr-FR"/>
        </w:rPr>
        <w:t>du projet destinées</w:t>
      </w:r>
      <w:proofErr w:type="gramEnd"/>
      <w:r w:rsidR="003B6BC3" w:rsidRPr="003B6BC3">
        <w:rPr>
          <w:rFonts w:ascii="Times New Roman" w:eastAsia="Times New Roman" w:hAnsi="Times New Roman" w:cs="Times New Roman"/>
          <w:i/>
          <w:color w:val="000000" w:themeColor="text1"/>
          <w:sz w:val="24"/>
          <w:szCs w:val="24"/>
          <w:lang w:eastAsia="fr-FR"/>
        </w:rPr>
        <w:t xml:space="preserve"> à éviter les incidences négatives notables, réduire celles qui ne peuvent être évitées et compenser celles qui ne peuvent être évitées ni réduites. Elle précise également les modalités du suivi des incidences du projet sur l'environnement ou la santé humaine. / (…)</w:t>
      </w:r>
      <w:r w:rsidR="003B6BC3" w:rsidRPr="003B6BC3">
        <w:rPr>
          <w:rFonts w:ascii="Times New Roman" w:eastAsia="Times New Roman" w:hAnsi="Times New Roman" w:cs="Times New Roman"/>
          <w:color w:val="000000" w:themeColor="text1"/>
          <w:sz w:val="24"/>
          <w:szCs w:val="24"/>
          <w:lang w:eastAsia="fr-FR"/>
        </w:rPr>
        <w:t xml:space="preserve"> ».</w:t>
      </w:r>
    </w:p>
    <w:p w14:paraId="31084A53" w14:textId="04FE6342" w:rsidR="00244C34" w:rsidRDefault="00E41E3A" w:rsidP="00C80B32">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lastRenderedPageBreak/>
        <w:t>50</w:t>
      </w:r>
      <w:r w:rsidR="003B6BC3">
        <w:rPr>
          <w:rFonts w:ascii="Times New Roman" w:eastAsia="Times New Roman" w:hAnsi="Times New Roman" w:cs="Times New Roman"/>
          <w:color w:val="000000" w:themeColor="text1"/>
          <w:sz w:val="24"/>
          <w:szCs w:val="24"/>
          <w:lang w:eastAsia="fr-FR"/>
        </w:rPr>
        <w:t xml:space="preserve">. En l’espèce, </w:t>
      </w:r>
      <w:r w:rsidR="00244C34">
        <w:rPr>
          <w:rFonts w:ascii="Times New Roman" w:eastAsia="Times New Roman" w:hAnsi="Times New Roman" w:cs="Times New Roman"/>
          <w:color w:val="000000" w:themeColor="text1"/>
          <w:sz w:val="24"/>
          <w:szCs w:val="24"/>
          <w:lang w:eastAsia="fr-FR"/>
        </w:rPr>
        <w:t xml:space="preserve">en n’invoquant les seules dispositions de l’article L. 122-1-1 du code de l’environnement, sans faire état de la méconnaissance d’aucune règle en matière d’urbanisme, l’association requérante ne saurait être regardée comme contestant utilement la légalité du permis de construire </w:t>
      </w:r>
      <w:proofErr w:type="gramStart"/>
      <w:r w:rsidR="00244C34">
        <w:rPr>
          <w:rFonts w:ascii="Times New Roman" w:eastAsia="Times New Roman" w:hAnsi="Times New Roman" w:cs="Times New Roman"/>
          <w:color w:val="000000" w:themeColor="text1"/>
          <w:sz w:val="24"/>
          <w:szCs w:val="24"/>
          <w:lang w:eastAsia="fr-FR"/>
        </w:rPr>
        <w:t>attaqué</w:t>
      </w:r>
      <w:proofErr w:type="gramEnd"/>
      <w:r w:rsidR="00244C34">
        <w:rPr>
          <w:rFonts w:ascii="Times New Roman" w:eastAsia="Times New Roman" w:hAnsi="Times New Roman" w:cs="Times New Roman"/>
          <w:color w:val="000000" w:themeColor="text1"/>
          <w:sz w:val="24"/>
          <w:szCs w:val="24"/>
          <w:lang w:eastAsia="fr-FR"/>
        </w:rPr>
        <w:t xml:space="preserve"> du 1</w:t>
      </w:r>
      <w:r w:rsidR="00244C34">
        <w:rPr>
          <w:rFonts w:ascii="Times New Roman" w:eastAsia="Times New Roman" w:hAnsi="Times New Roman" w:cs="Times New Roman"/>
          <w:color w:val="000000" w:themeColor="text1"/>
          <w:sz w:val="24"/>
          <w:szCs w:val="24"/>
          <w:vertAlign w:val="superscript"/>
          <w:lang w:eastAsia="fr-FR"/>
        </w:rPr>
        <w:t xml:space="preserve">er </w:t>
      </w:r>
      <w:r w:rsidR="00244C34">
        <w:rPr>
          <w:rFonts w:ascii="Times New Roman" w:eastAsia="Times New Roman" w:hAnsi="Times New Roman" w:cs="Times New Roman"/>
          <w:color w:val="000000" w:themeColor="text1"/>
          <w:sz w:val="24"/>
          <w:szCs w:val="24"/>
          <w:lang w:eastAsia="fr-FR"/>
        </w:rPr>
        <w:t xml:space="preserve">mars 2024. </w:t>
      </w:r>
      <w:r w:rsidR="00244C34" w:rsidRPr="00F5284B">
        <w:rPr>
          <w:rFonts w:ascii="Times New Roman" w:eastAsia="Times New Roman" w:hAnsi="Times New Roman" w:cs="Times New Roman"/>
          <w:color w:val="000000" w:themeColor="text1"/>
          <w:sz w:val="24"/>
          <w:szCs w:val="24"/>
          <w:lang w:eastAsia="fr-FR"/>
        </w:rPr>
        <w:t>A supposer toutefois, d’une part, que l’association requérante puisse être regardée comme invoquant non pas les seules dispositions précitées de l’article L. 122-1-1 du code de l’environnement mais également celles de l’article L. 424-4 du code de l’urbanisme dont elle ne fait jamais état dans sa requête et que, d’autre part, la circonstance que les informations prévues par lesdites dispositions de l'article L. 122-1-1 du code de l'environnement n'aient pas été jointes à l’arrêté contesté ne soit pas sans incidence sur sa légalité, il est constant, en tout état de cause, que ledit arrêté prévoit, d’une part et à son article 2, que le permis de construire litigieux est assorti des prescriptions émises dans les avis annexés soit notamment celui du service gestion des eaux pluviales de la métropole Nice Côte d’azur et, d’autre part à son article 3, qu’il est délivré sous réserve du strict respect des mesures d’évitement, de réduction et de compensation de l’impact environnemental et agricole du projet qu’il autorise ainsi que des mesures de suivi associées, dont l’ensemble a été détaillé dans l’étude d’impact annexée à la demande de permis de construire. Dans ces conditions, et alors que la circonstance selon laquelle l’étude impact du projet litigieux serait insuffisante est sans incidence sur le bien-fondé d’un tel moyen tiré de la méconnaissance des dispositions de l’article L. 424-4 du code de l’urbanisme, l’arrêté attaqué du 1</w:t>
      </w:r>
      <w:r w:rsidR="00244C34" w:rsidRPr="00F5284B">
        <w:rPr>
          <w:rFonts w:ascii="Times New Roman" w:eastAsia="Times New Roman" w:hAnsi="Times New Roman" w:cs="Times New Roman"/>
          <w:color w:val="000000" w:themeColor="text1"/>
          <w:sz w:val="24"/>
          <w:szCs w:val="24"/>
          <w:vertAlign w:val="superscript"/>
          <w:lang w:eastAsia="fr-FR"/>
        </w:rPr>
        <w:t>er</w:t>
      </w:r>
      <w:r w:rsidR="00244C34" w:rsidRPr="00F5284B">
        <w:rPr>
          <w:rFonts w:ascii="Times New Roman" w:eastAsia="Times New Roman" w:hAnsi="Times New Roman" w:cs="Times New Roman"/>
          <w:color w:val="000000" w:themeColor="text1"/>
          <w:sz w:val="24"/>
          <w:szCs w:val="24"/>
          <w:lang w:eastAsia="fr-FR"/>
        </w:rPr>
        <w:t xml:space="preserve"> mars 2024 doit être regardé comme satisfaisant à l’exigence posée par ces dispositions du code de l’urbanisme. Le moyen susmentionné doit alors être écarté.</w:t>
      </w:r>
    </w:p>
    <w:p w14:paraId="011DD624" w14:textId="0D58EB15" w:rsidR="00C80B32" w:rsidRDefault="00C80B32" w:rsidP="00244C34">
      <w:pPr>
        <w:spacing w:after="0" w:line="240" w:lineRule="auto"/>
        <w:jc w:val="both"/>
        <w:rPr>
          <w:rFonts w:ascii="Times New Roman" w:eastAsia="Times New Roman" w:hAnsi="Times New Roman" w:cs="Times New Roman"/>
          <w:color w:val="000000" w:themeColor="text1"/>
          <w:sz w:val="24"/>
          <w:szCs w:val="24"/>
          <w:lang w:eastAsia="fr-FR"/>
        </w:rPr>
      </w:pPr>
    </w:p>
    <w:p w14:paraId="6C045C5E" w14:textId="6916F79F" w:rsidR="00C80B32" w:rsidRPr="008165AD" w:rsidRDefault="00C80B32" w:rsidP="00604E5B">
      <w:pPr>
        <w:spacing w:after="0" w:line="240" w:lineRule="auto"/>
        <w:jc w:val="both"/>
        <w:rPr>
          <w:rFonts w:ascii="Times New Roman" w:eastAsia="Times New Roman" w:hAnsi="Times New Roman" w:cs="Times New Roman"/>
          <w:b/>
          <w:color w:val="000000" w:themeColor="text1"/>
          <w:sz w:val="24"/>
          <w:szCs w:val="24"/>
          <w:u w:val="single"/>
          <w:lang w:eastAsia="fr-FR"/>
        </w:rPr>
      </w:pPr>
      <w:r w:rsidRPr="008165AD">
        <w:rPr>
          <w:rFonts w:ascii="Times New Roman" w:eastAsia="Times New Roman" w:hAnsi="Times New Roman" w:cs="Times New Roman"/>
          <w:b/>
          <w:color w:val="000000" w:themeColor="text1"/>
          <w:sz w:val="24"/>
          <w:szCs w:val="24"/>
          <w:u w:val="single"/>
          <w:lang w:eastAsia="fr-FR"/>
        </w:rPr>
        <w:t>Sur le moyen</w:t>
      </w:r>
      <w:r w:rsidR="008165AD" w:rsidRPr="008165AD">
        <w:rPr>
          <w:rFonts w:ascii="Times New Roman" w:eastAsia="Times New Roman" w:hAnsi="Times New Roman" w:cs="Times New Roman"/>
          <w:b/>
          <w:color w:val="000000" w:themeColor="text1"/>
          <w:sz w:val="24"/>
          <w:szCs w:val="24"/>
          <w:u w:val="single"/>
          <w:lang w:eastAsia="fr-FR"/>
        </w:rPr>
        <w:t xml:space="preserve"> tiré de la prétendue méconnaissance de l’article R. 111-27 du code de l’urbanisme :</w:t>
      </w:r>
    </w:p>
    <w:p w14:paraId="31267E68" w14:textId="52FD275B" w:rsidR="008165AD" w:rsidRDefault="008165AD" w:rsidP="00C80B32">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54DBBAC7" w14:textId="37D0C87D" w:rsidR="008165AD" w:rsidRDefault="00E41E3A" w:rsidP="007775E4">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51</w:t>
      </w:r>
      <w:r w:rsidR="007775E4">
        <w:rPr>
          <w:rFonts w:ascii="Times New Roman" w:eastAsia="Times New Roman" w:hAnsi="Times New Roman" w:cs="Times New Roman"/>
          <w:color w:val="000000" w:themeColor="text1"/>
          <w:sz w:val="24"/>
          <w:szCs w:val="24"/>
          <w:lang w:eastAsia="fr-FR"/>
        </w:rPr>
        <w:t>. D’une part</w:t>
      </w:r>
      <w:r w:rsidR="00E436D7">
        <w:rPr>
          <w:rFonts w:ascii="Times New Roman" w:eastAsia="Times New Roman" w:hAnsi="Times New Roman" w:cs="Times New Roman"/>
          <w:color w:val="000000" w:themeColor="text1"/>
          <w:sz w:val="24"/>
          <w:szCs w:val="24"/>
          <w:lang w:eastAsia="fr-FR"/>
        </w:rPr>
        <w:t xml:space="preserve">, </w:t>
      </w:r>
      <w:r w:rsidR="007775E4">
        <w:rPr>
          <w:rFonts w:ascii="Times New Roman" w:eastAsia="Times New Roman" w:hAnsi="Times New Roman" w:cs="Times New Roman"/>
          <w:color w:val="000000" w:themeColor="text1"/>
          <w:sz w:val="24"/>
          <w:szCs w:val="24"/>
          <w:lang w:eastAsia="fr-FR"/>
        </w:rPr>
        <w:t>a</w:t>
      </w:r>
      <w:r w:rsidR="007775E4" w:rsidRPr="007775E4">
        <w:rPr>
          <w:rFonts w:ascii="Times New Roman" w:eastAsia="Times New Roman" w:hAnsi="Times New Roman" w:cs="Times New Roman"/>
          <w:color w:val="000000" w:themeColor="text1"/>
          <w:sz w:val="24"/>
          <w:szCs w:val="24"/>
          <w:lang w:eastAsia="fr-FR"/>
        </w:rPr>
        <w:t xml:space="preserve">ux termes de l’article R. 111-27 du code de l'urbanisme : « </w:t>
      </w:r>
      <w:r w:rsidR="007775E4" w:rsidRPr="007775E4">
        <w:rPr>
          <w:rFonts w:ascii="Times New Roman" w:eastAsia="Times New Roman" w:hAnsi="Times New Roman" w:cs="Times New Roman"/>
          <w:i/>
          <w:color w:val="000000" w:themeColor="text1"/>
          <w:sz w:val="24"/>
          <w:szCs w:val="24"/>
          <w:lang w:eastAsia="fr-FR"/>
        </w:rPr>
        <w:t>Le projet peut être refusé ou n'être accepté que sous réserve de l'observation de prescriptions spéciales si les constructions, par leur situation, leur architecture, leurs dimensions ou l'aspect extérieur des bâtiments ou ouvrages à édifier ou à modifier, sont de nature à porter atteinte au caractère ou à l'intérêt des lieux avoisinants, aux sites, aux paysages naturels ou urbains ainsi qu'à la conservation des perspectives monumentale</w:t>
      </w:r>
      <w:r w:rsidR="007775E4" w:rsidRPr="007775E4">
        <w:rPr>
          <w:rFonts w:ascii="Times New Roman" w:eastAsia="Times New Roman" w:hAnsi="Times New Roman" w:cs="Times New Roman"/>
          <w:color w:val="000000" w:themeColor="text1"/>
          <w:sz w:val="24"/>
          <w:szCs w:val="24"/>
          <w:lang w:eastAsia="fr-FR"/>
        </w:rPr>
        <w:t>s ».</w:t>
      </w:r>
    </w:p>
    <w:p w14:paraId="627BBC65" w14:textId="56494319" w:rsidR="007775E4" w:rsidRDefault="007775E4" w:rsidP="007775E4">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1BB0602D" w14:textId="3113E0DD" w:rsidR="007775E4" w:rsidRDefault="00E41E3A" w:rsidP="007775E4">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52</w:t>
      </w:r>
      <w:r w:rsidR="007775E4">
        <w:rPr>
          <w:rFonts w:ascii="Times New Roman" w:eastAsia="Times New Roman" w:hAnsi="Times New Roman" w:cs="Times New Roman"/>
          <w:color w:val="000000" w:themeColor="text1"/>
          <w:sz w:val="24"/>
          <w:szCs w:val="24"/>
          <w:lang w:eastAsia="fr-FR"/>
        </w:rPr>
        <w:t>. Il résulte d</w:t>
      </w:r>
      <w:r w:rsidR="007775E4" w:rsidRPr="007775E4">
        <w:rPr>
          <w:rFonts w:ascii="Times New Roman" w:eastAsia="Times New Roman" w:hAnsi="Times New Roman" w:cs="Times New Roman"/>
          <w:color w:val="000000" w:themeColor="text1"/>
          <w:sz w:val="24"/>
          <w:szCs w:val="24"/>
          <w:lang w:eastAsia="fr-FR"/>
        </w:rPr>
        <w:t>es dispositions</w:t>
      </w:r>
      <w:r w:rsidR="007775E4">
        <w:rPr>
          <w:rFonts w:ascii="Times New Roman" w:eastAsia="Times New Roman" w:hAnsi="Times New Roman" w:cs="Times New Roman"/>
          <w:color w:val="000000" w:themeColor="text1"/>
          <w:sz w:val="24"/>
          <w:szCs w:val="24"/>
          <w:lang w:eastAsia="fr-FR"/>
        </w:rPr>
        <w:t xml:space="preserve"> citées au point précédent </w:t>
      </w:r>
      <w:r w:rsidR="007775E4" w:rsidRPr="007775E4">
        <w:rPr>
          <w:rFonts w:ascii="Times New Roman" w:eastAsia="Times New Roman" w:hAnsi="Times New Roman" w:cs="Times New Roman"/>
          <w:color w:val="000000" w:themeColor="text1"/>
          <w:sz w:val="24"/>
          <w:szCs w:val="24"/>
          <w:lang w:eastAsia="fr-FR"/>
        </w:rPr>
        <w:t xml:space="preserve">que, si les constructions projetées portent atteinte aux paysages naturels avoisinants, l’autorité administrative compétente peut refuser de délivrer le permis de construire </w:t>
      </w:r>
      <w:proofErr w:type="gramStart"/>
      <w:r w:rsidR="007775E4" w:rsidRPr="007775E4">
        <w:rPr>
          <w:rFonts w:ascii="Times New Roman" w:eastAsia="Times New Roman" w:hAnsi="Times New Roman" w:cs="Times New Roman"/>
          <w:color w:val="000000" w:themeColor="text1"/>
          <w:sz w:val="24"/>
          <w:szCs w:val="24"/>
          <w:lang w:eastAsia="fr-FR"/>
        </w:rPr>
        <w:t>sollicité</w:t>
      </w:r>
      <w:proofErr w:type="gramEnd"/>
      <w:r w:rsidR="007775E4" w:rsidRPr="007775E4">
        <w:rPr>
          <w:rFonts w:ascii="Times New Roman" w:eastAsia="Times New Roman" w:hAnsi="Times New Roman" w:cs="Times New Roman"/>
          <w:color w:val="000000" w:themeColor="text1"/>
          <w:sz w:val="24"/>
          <w:szCs w:val="24"/>
          <w:lang w:eastAsia="fr-FR"/>
        </w:rPr>
        <w:t xml:space="preserve"> ou l’assortir de prescriptions spéciales. Pour rechercher l’existence d’une atteinte à un paysage naturel de nature à fonder le refus de permis de construire ou les prescriptions spéciales accompagnant la délivrance de ce permis, il lui appartient d’apprécier, dans un premier temps, la qualité du site naturel sur lequel la construction est projetée et d’évaluer, dans un second temps, l’impact que cette construction, compte tenu de sa nature et de ses effets, pourrait avoir sur le site. Les dispositions de cet article excluent qu’il soit procédé dans le second temps du raisonnement, pour apprécier la légalité des permis de construire délivrés, à une balance d’intérêts divers en présence, autres que ceux visés à l’article R. 111-27 cité ci-dessus.</w:t>
      </w:r>
    </w:p>
    <w:p w14:paraId="47BFD1D4" w14:textId="06705E83" w:rsidR="007775E4" w:rsidRDefault="007775E4" w:rsidP="007775E4">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344A752C" w14:textId="002E3B9C" w:rsidR="007775E4" w:rsidRDefault="00E41E3A" w:rsidP="007775E4">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53</w:t>
      </w:r>
      <w:r w:rsidR="007775E4">
        <w:rPr>
          <w:rFonts w:ascii="Times New Roman" w:eastAsia="Times New Roman" w:hAnsi="Times New Roman" w:cs="Times New Roman"/>
          <w:color w:val="000000" w:themeColor="text1"/>
          <w:sz w:val="24"/>
          <w:szCs w:val="24"/>
          <w:lang w:eastAsia="fr-FR"/>
        </w:rPr>
        <w:t xml:space="preserve">. D’autre part, il résulte des dispositions de l’article L. 9 du code de justice administrative aux termes desquelles « </w:t>
      </w:r>
      <w:r w:rsidR="007775E4" w:rsidRPr="007775E4">
        <w:rPr>
          <w:rFonts w:ascii="Times New Roman" w:eastAsia="Times New Roman" w:hAnsi="Times New Roman" w:cs="Times New Roman"/>
          <w:i/>
          <w:color w:val="000000" w:themeColor="text1"/>
          <w:sz w:val="24"/>
          <w:szCs w:val="24"/>
          <w:lang w:eastAsia="fr-FR"/>
        </w:rPr>
        <w:t>Les jugements sont motivés</w:t>
      </w:r>
      <w:r w:rsidR="007775E4">
        <w:rPr>
          <w:rFonts w:ascii="Times New Roman" w:eastAsia="Times New Roman" w:hAnsi="Times New Roman" w:cs="Times New Roman"/>
          <w:color w:val="000000" w:themeColor="text1"/>
          <w:sz w:val="24"/>
          <w:szCs w:val="24"/>
          <w:lang w:eastAsia="fr-FR"/>
        </w:rPr>
        <w:t xml:space="preserve"> » que le juge, doit se prononcer, en principe, sur l’ensemble des moyens dont il est saisi par une motivation suffisante dont la régularité s’apprécie au regard de la teneur de l’argumentation qui lui est soumise. </w:t>
      </w:r>
    </w:p>
    <w:p w14:paraId="4743DF56" w14:textId="77777777" w:rsidR="007775E4" w:rsidRDefault="007775E4" w:rsidP="007775E4">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38DE63E6" w14:textId="11D8B907" w:rsidR="009E7ADF" w:rsidRDefault="00E41E3A" w:rsidP="007775E4">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lastRenderedPageBreak/>
        <w:t>54</w:t>
      </w:r>
      <w:r w:rsidR="007775E4">
        <w:rPr>
          <w:rFonts w:ascii="Times New Roman" w:eastAsia="Times New Roman" w:hAnsi="Times New Roman" w:cs="Times New Roman"/>
          <w:color w:val="000000" w:themeColor="text1"/>
          <w:sz w:val="24"/>
          <w:szCs w:val="24"/>
          <w:lang w:eastAsia="fr-FR"/>
        </w:rPr>
        <w:t>. En l’espèce, si, au regard</w:t>
      </w:r>
      <w:r w:rsidR="004563B9">
        <w:rPr>
          <w:rFonts w:ascii="Times New Roman" w:eastAsia="Times New Roman" w:hAnsi="Times New Roman" w:cs="Times New Roman"/>
          <w:color w:val="000000" w:themeColor="text1"/>
          <w:sz w:val="24"/>
          <w:szCs w:val="24"/>
          <w:lang w:eastAsia="fr-FR"/>
        </w:rPr>
        <w:t xml:space="preserve"> de son </w:t>
      </w:r>
      <w:r w:rsidR="001A3954">
        <w:rPr>
          <w:rFonts w:ascii="Times New Roman" w:eastAsia="Times New Roman" w:hAnsi="Times New Roman" w:cs="Times New Roman"/>
          <w:color w:val="000000" w:themeColor="text1"/>
          <w:sz w:val="24"/>
          <w:szCs w:val="24"/>
          <w:lang w:eastAsia="fr-FR"/>
        </w:rPr>
        <w:t>ampleur,</w:t>
      </w:r>
      <w:r w:rsidR="004563B9">
        <w:rPr>
          <w:rFonts w:ascii="Times New Roman" w:eastAsia="Times New Roman" w:hAnsi="Times New Roman" w:cs="Times New Roman"/>
          <w:color w:val="000000" w:themeColor="text1"/>
          <w:sz w:val="24"/>
          <w:szCs w:val="24"/>
          <w:lang w:eastAsia="fr-FR"/>
        </w:rPr>
        <w:t xml:space="preserve"> de ses</w:t>
      </w:r>
      <w:r w:rsidR="00F5284B">
        <w:rPr>
          <w:rFonts w:ascii="Times New Roman" w:eastAsia="Times New Roman" w:hAnsi="Times New Roman" w:cs="Times New Roman"/>
          <w:color w:val="000000" w:themeColor="text1"/>
          <w:sz w:val="24"/>
          <w:szCs w:val="24"/>
          <w:lang w:eastAsia="fr-FR"/>
        </w:rPr>
        <w:t xml:space="preserve"> caractéristiques </w:t>
      </w:r>
      <w:r w:rsidR="001A3954">
        <w:rPr>
          <w:rFonts w:ascii="Times New Roman" w:eastAsia="Times New Roman" w:hAnsi="Times New Roman" w:cs="Times New Roman"/>
          <w:color w:val="000000" w:themeColor="text1"/>
          <w:sz w:val="24"/>
          <w:szCs w:val="24"/>
          <w:lang w:eastAsia="fr-FR"/>
        </w:rPr>
        <w:t>et de son implantation dans un site présentant, comme l’indique d’ailleurs la société pétitionnaire dans la notice architecturale (</w:t>
      </w:r>
      <w:r w:rsidR="001A3954" w:rsidRPr="001A3954">
        <w:rPr>
          <w:rFonts w:ascii="Times New Roman" w:eastAsia="Times New Roman" w:hAnsi="Times New Roman" w:cs="Times New Roman"/>
          <w:i/>
          <w:color w:val="000000" w:themeColor="text1"/>
          <w:sz w:val="24"/>
          <w:szCs w:val="24"/>
          <w:lang w:eastAsia="fr-FR"/>
        </w:rPr>
        <w:t>page 2 de ladite notice</w:t>
      </w:r>
      <w:r w:rsidR="001A3954">
        <w:rPr>
          <w:rFonts w:ascii="Times New Roman" w:eastAsia="Times New Roman" w:hAnsi="Times New Roman" w:cs="Times New Roman"/>
          <w:color w:val="000000" w:themeColor="text1"/>
          <w:sz w:val="24"/>
          <w:szCs w:val="24"/>
          <w:lang w:eastAsia="fr-FR"/>
        </w:rPr>
        <w:t xml:space="preserve">), annexée à la demande de permis de construire, un intérêt paysager majeur, </w:t>
      </w:r>
      <w:r w:rsidR="004563B9">
        <w:rPr>
          <w:rFonts w:ascii="Times New Roman" w:eastAsia="Times New Roman" w:hAnsi="Times New Roman" w:cs="Times New Roman"/>
          <w:color w:val="000000" w:themeColor="text1"/>
          <w:sz w:val="24"/>
          <w:szCs w:val="24"/>
          <w:lang w:eastAsia="fr-FR"/>
        </w:rPr>
        <w:t xml:space="preserve">le projet </w:t>
      </w:r>
      <w:r w:rsidR="009E7ADF">
        <w:rPr>
          <w:rFonts w:ascii="Times New Roman" w:eastAsia="Times New Roman" w:hAnsi="Times New Roman" w:cs="Times New Roman"/>
          <w:color w:val="000000" w:themeColor="text1"/>
          <w:sz w:val="24"/>
          <w:szCs w:val="24"/>
          <w:lang w:eastAsia="fr-FR"/>
        </w:rPr>
        <w:t xml:space="preserve">litigieux </w:t>
      </w:r>
      <w:r w:rsidR="004563B9">
        <w:rPr>
          <w:rFonts w:ascii="Times New Roman" w:eastAsia="Times New Roman" w:hAnsi="Times New Roman" w:cs="Times New Roman"/>
          <w:color w:val="000000" w:themeColor="text1"/>
          <w:sz w:val="24"/>
          <w:szCs w:val="24"/>
          <w:lang w:eastAsia="fr-FR"/>
        </w:rPr>
        <w:t>est susceptible d’avoir</w:t>
      </w:r>
      <w:r w:rsidR="000229E3">
        <w:rPr>
          <w:rFonts w:ascii="Times New Roman" w:eastAsia="Times New Roman" w:hAnsi="Times New Roman" w:cs="Times New Roman"/>
          <w:color w:val="000000" w:themeColor="text1"/>
          <w:sz w:val="24"/>
          <w:szCs w:val="24"/>
          <w:lang w:eastAsia="fr-FR"/>
        </w:rPr>
        <w:t xml:space="preserve"> des incidences notables sur cette </w:t>
      </w:r>
      <w:r w:rsidR="004563B9">
        <w:rPr>
          <w:rFonts w:ascii="Times New Roman" w:eastAsia="Times New Roman" w:hAnsi="Times New Roman" w:cs="Times New Roman"/>
          <w:color w:val="000000" w:themeColor="text1"/>
          <w:sz w:val="24"/>
          <w:szCs w:val="24"/>
          <w:lang w:eastAsia="fr-FR"/>
        </w:rPr>
        <w:t xml:space="preserve">qualité paysagère, lesquelles constituent un enjeu </w:t>
      </w:r>
      <w:r w:rsidR="000229E3">
        <w:rPr>
          <w:rFonts w:ascii="Times New Roman" w:eastAsia="Times New Roman" w:hAnsi="Times New Roman" w:cs="Times New Roman"/>
          <w:color w:val="000000" w:themeColor="text1"/>
          <w:sz w:val="24"/>
          <w:szCs w:val="24"/>
          <w:lang w:eastAsia="fr-FR"/>
        </w:rPr>
        <w:t>essentiel</w:t>
      </w:r>
      <w:r w:rsidR="004563B9">
        <w:rPr>
          <w:rFonts w:ascii="Times New Roman" w:eastAsia="Times New Roman" w:hAnsi="Times New Roman" w:cs="Times New Roman"/>
          <w:color w:val="000000" w:themeColor="text1"/>
          <w:sz w:val="24"/>
          <w:szCs w:val="24"/>
          <w:lang w:eastAsia="fr-FR"/>
        </w:rPr>
        <w:t xml:space="preserve"> dans ce litige, en se bornant </w:t>
      </w:r>
      <w:r w:rsidR="009E7ADF">
        <w:rPr>
          <w:rFonts w:ascii="Times New Roman" w:eastAsia="Times New Roman" w:hAnsi="Times New Roman" w:cs="Times New Roman"/>
          <w:color w:val="000000" w:themeColor="text1"/>
          <w:sz w:val="24"/>
          <w:szCs w:val="24"/>
          <w:lang w:eastAsia="fr-FR"/>
        </w:rPr>
        <w:t xml:space="preserve">toutefois </w:t>
      </w:r>
      <w:r w:rsidR="004563B9">
        <w:rPr>
          <w:rFonts w:ascii="Times New Roman" w:eastAsia="Times New Roman" w:hAnsi="Times New Roman" w:cs="Times New Roman"/>
          <w:color w:val="000000" w:themeColor="text1"/>
          <w:sz w:val="24"/>
          <w:szCs w:val="24"/>
          <w:lang w:eastAsia="fr-FR"/>
        </w:rPr>
        <w:t xml:space="preserve">à reproduire des extraits de l’avis de </w:t>
      </w:r>
      <w:r w:rsidR="004563B9" w:rsidRPr="004563B9">
        <w:rPr>
          <w:rFonts w:ascii="Times New Roman" w:eastAsia="Times New Roman" w:hAnsi="Times New Roman" w:cs="Times New Roman"/>
          <w:color w:val="000000" w:themeColor="text1"/>
          <w:sz w:val="24"/>
          <w:szCs w:val="24"/>
          <w:lang w:eastAsia="fr-FR"/>
        </w:rPr>
        <w:t xml:space="preserve">la </w:t>
      </w:r>
      <w:proofErr w:type="spellStart"/>
      <w:r w:rsidR="000229E3">
        <w:rPr>
          <w:rFonts w:ascii="Times New Roman" w:eastAsia="Times New Roman" w:hAnsi="Times New Roman" w:cs="Times New Roman"/>
          <w:color w:val="000000" w:themeColor="text1"/>
          <w:sz w:val="24"/>
          <w:szCs w:val="24"/>
          <w:lang w:eastAsia="fr-FR"/>
        </w:rPr>
        <w:t>MRAe</w:t>
      </w:r>
      <w:proofErr w:type="spellEnd"/>
      <w:r w:rsidR="000229E3">
        <w:rPr>
          <w:rFonts w:ascii="Times New Roman" w:eastAsia="Times New Roman" w:hAnsi="Times New Roman" w:cs="Times New Roman"/>
          <w:color w:val="000000" w:themeColor="text1"/>
          <w:sz w:val="24"/>
          <w:szCs w:val="24"/>
          <w:lang w:eastAsia="fr-FR"/>
        </w:rPr>
        <w:t xml:space="preserve"> </w:t>
      </w:r>
      <w:r w:rsidR="004563B9">
        <w:rPr>
          <w:rFonts w:ascii="Times New Roman" w:eastAsia="Times New Roman" w:hAnsi="Times New Roman" w:cs="Times New Roman"/>
          <w:color w:val="000000" w:themeColor="text1"/>
          <w:sz w:val="24"/>
          <w:szCs w:val="24"/>
          <w:lang w:eastAsia="fr-FR"/>
        </w:rPr>
        <w:t>ainsi que du rapport du commissaire enquêteur et en soutenant que le préfet des Alpes-Maritimes n’a pas assorti le permis de construire attaqué de prescriptions suffisantes permettant d’éviter, de réduire ou de compenser les atteintes du projet à la qualité paysagère du site, sans même préciser la nature de ces prescriptions ni contester l</w:t>
      </w:r>
      <w:r w:rsidR="004563B9" w:rsidRPr="004563B9">
        <w:rPr>
          <w:rFonts w:ascii="Times New Roman" w:eastAsia="Times New Roman" w:hAnsi="Times New Roman" w:cs="Times New Roman"/>
          <w:color w:val="000000" w:themeColor="text1"/>
          <w:sz w:val="24"/>
          <w:szCs w:val="24"/>
          <w:lang w:eastAsia="fr-FR"/>
        </w:rPr>
        <w:t xml:space="preserve">es éléments mis en avant pour justifier </w:t>
      </w:r>
      <w:r w:rsidR="0057146E">
        <w:rPr>
          <w:rFonts w:ascii="Times New Roman" w:eastAsia="Times New Roman" w:hAnsi="Times New Roman" w:cs="Times New Roman"/>
          <w:color w:val="000000" w:themeColor="text1"/>
          <w:sz w:val="24"/>
          <w:szCs w:val="24"/>
          <w:lang w:eastAsia="fr-FR"/>
        </w:rPr>
        <w:t xml:space="preserve">de </w:t>
      </w:r>
      <w:r w:rsidR="004563B9" w:rsidRPr="004563B9">
        <w:rPr>
          <w:rFonts w:ascii="Times New Roman" w:eastAsia="Times New Roman" w:hAnsi="Times New Roman" w:cs="Times New Roman"/>
          <w:color w:val="000000" w:themeColor="text1"/>
          <w:sz w:val="24"/>
          <w:szCs w:val="24"/>
          <w:lang w:eastAsia="fr-FR"/>
        </w:rPr>
        <w:t>l’atténuation de</w:t>
      </w:r>
      <w:r w:rsidR="0057146E">
        <w:rPr>
          <w:rFonts w:ascii="Times New Roman" w:eastAsia="Times New Roman" w:hAnsi="Times New Roman" w:cs="Times New Roman"/>
          <w:color w:val="000000" w:themeColor="text1"/>
          <w:sz w:val="24"/>
          <w:szCs w:val="24"/>
          <w:lang w:eastAsia="fr-FR"/>
        </w:rPr>
        <w:t>s</w:t>
      </w:r>
      <w:r w:rsidR="004563B9" w:rsidRPr="004563B9">
        <w:rPr>
          <w:rFonts w:ascii="Times New Roman" w:eastAsia="Times New Roman" w:hAnsi="Times New Roman" w:cs="Times New Roman"/>
          <w:color w:val="000000" w:themeColor="text1"/>
          <w:sz w:val="24"/>
          <w:szCs w:val="24"/>
          <w:lang w:eastAsia="fr-FR"/>
        </w:rPr>
        <w:t xml:space="preserve"> impact</w:t>
      </w:r>
      <w:r w:rsidR="0057146E">
        <w:rPr>
          <w:rFonts w:ascii="Times New Roman" w:eastAsia="Times New Roman" w:hAnsi="Times New Roman" w:cs="Times New Roman"/>
          <w:color w:val="000000" w:themeColor="text1"/>
          <w:sz w:val="24"/>
          <w:szCs w:val="24"/>
          <w:lang w:eastAsia="fr-FR"/>
        </w:rPr>
        <w:t>s</w:t>
      </w:r>
      <w:r w:rsidR="004563B9" w:rsidRPr="004563B9">
        <w:rPr>
          <w:rFonts w:ascii="Times New Roman" w:eastAsia="Times New Roman" w:hAnsi="Times New Roman" w:cs="Times New Roman"/>
          <w:color w:val="000000" w:themeColor="text1"/>
          <w:sz w:val="24"/>
          <w:szCs w:val="24"/>
          <w:lang w:eastAsia="fr-FR"/>
        </w:rPr>
        <w:t xml:space="preserve"> visuel</w:t>
      </w:r>
      <w:r w:rsidR="0057146E">
        <w:rPr>
          <w:rFonts w:ascii="Times New Roman" w:eastAsia="Times New Roman" w:hAnsi="Times New Roman" w:cs="Times New Roman"/>
          <w:color w:val="000000" w:themeColor="text1"/>
          <w:sz w:val="24"/>
          <w:szCs w:val="24"/>
          <w:lang w:eastAsia="fr-FR"/>
        </w:rPr>
        <w:t>s</w:t>
      </w:r>
      <w:r w:rsidR="004563B9">
        <w:rPr>
          <w:rFonts w:ascii="Times New Roman" w:eastAsia="Times New Roman" w:hAnsi="Times New Roman" w:cs="Times New Roman"/>
          <w:color w:val="000000" w:themeColor="text1"/>
          <w:sz w:val="24"/>
          <w:szCs w:val="24"/>
          <w:lang w:eastAsia="fr-FR"/>
        </w:rPr>
        <w:t xml:space="preserve"> du projet développé</w:t>
      </w:r>
      <w:r w:rsidR="009E7ADF">
        <w:rPr>
          <w:rFonts w:ascii="Times New Roman" w:eastAsia="Times New Roman" w:hAnsi="Times New Roman" w:cs="Times New Roman"/>
          <w:color w:val="000000" w:themeColor="text1"/>
          <w:sz w:val="24"/>
          <w:szCs w:val="24"/>
          <w:lang w:eastAsia="fr-FR"/>
        </w:rPr>
        <w:t>s</w:t>
      </w:r>
      <w:r w:rsidR="004563B9">
        <w:rPr>
          <w:rFonts w:ascii="Times New Roman" w:eastAsia="Times New Roman" w:hAnsi="Times New Roman" w:cs="Times New Roman"/>
          <w:color w:val="000000" w:themeColor="text1"/>
          <w:sz w:val="24"/>
          <w:szCs w:val="24"/>
          <w:lang w:eastAsia="fr-FR"/>
        </w:rPr>
        <w:t xml:space="preserve"> notamment dans </w:t>
      </w:r>
      <w:r w:rsidR="009E7ADF">
        <w:rPr>
          <w:rFonts w:ascii="Times New Roman" w:eastAsia="Times New Roman" w:hAnsi="Times New Roman" w:cs="Times New Roman"/>
          <w:color w:val="000000" w:themeColor="text1"/>
          <w:sz w:val="24"/>
          <w:szCs w:val="24"/>
          <w:lang w:eastAsia="fr-FR"/>
        </w:rPr>
        <w:t>le point 6.4.3 de l’étude d’impact relatif aux « </w:t>
      </w:r>
      <w:proofErr w:type="spellStart"/>
      <w:r w:rsidR="009E7ADF">
        <w:rPr>
          <w:rFonts w:ascii="Times New Roman" w:eastAsia="Times New Roman" w:hAnsi="Times New Roman" w:cs="Times New Roman"/>
          <w:color w:val="000000" w:themeColor="text1"/>
          <w:sz w:val="24"/>
          <w:szCs w:val="24"/>
          <w:lang w:eastAsia="fr-FR"/>
        </w:rPr>
        <w:t>co</w:t>
      </w:r>
      <w:proofErr w:type="spellEnd"/>
      <w:r w:rsidR="009E7ADF">
        <w:rPr>
          <w:rFonts w:ascii="Times New Roman" w:eastAsia="Times New Roman" w:hAnsi="Times New Roman" w:cs="Times New Roman"/>
          <w:color w:val="000000" w:themeColor="text1"/>
          <w:sz w:val="24"/>
          <w:szCs w:val="24"/>
          <w:lang w:eastAsia="fr-FR"/>
        </w:rPr>
        <w:t>-visibilités du projet » (</w:t>
      </w:r>
      <w:r w:rsidR="009E7ADF" w:rsidRPr="009E7ADF">
        <w:rPr>
          <w:rFonts w:ascii="Times New Roman" w:eastAsia="Times New Roman" w:hAnsi="Times New Roman" w:cs="Times New Roman"/>
          <w:i/>
          <w:color w:val="000000" w:themeColor="text1"/>
          <w:sz w:val="24"/>
          <w:szCs w:val="24"/>
          <w:lang w:eastAsia="fr-FR"/>
        </w:rPr>
        <w:t>page 368 et suivantes</w:t>
      </w:r>
      <w:r w:rsidR="009E7ADF">
        <w:rPr>
          <w:rFonts w:ascii="Times New Roman" w:eastAsia="Times New Roman" w:hAnsi="Times New Roman" w:cs="Times New Roman"/>
          <w:color w:val="000000" w:themeColor="text1"/>
          <w:sz w:val="24"/>
          <w:szCs w:val="24"/>
          <w:lang w:eastAsia="fr-FR"/>
        </w:rPr>
        <w:t>) et dans l’étude paysagère (</w:t>
      </w:r>
      <w:r w:rsidR="009E7ADF" w:rsidRPr="009E7ADF">
        <w:rPr>
          <w:rFonts w:ascii="Times New Roman" w:eastAsia="Times New Roman" w:hAnsi="Times New Roman" w:cs="Times New Roman"/>
          <w:i/>
          <w:color w:val="000000" w:themeColor="text1"/>
          <w:sz w:val="24"/>
          <w:szCs w:val="24"/>
          <w:lang w:eastAsia="fr-FR"/>
        </w:rPr>
        <w:t>page 432 et suivantes</w:t>
      </w:r>
      <w:r w:rsidR="009E7ADF">
        <w:rPr>
          <w:rFonts w:ascii="Times New Roman" w:eastAsia="Times New Roman" w:hAnsi="Times New Roman" w:cs="Times New Roman"/>
          <w:color w:val="000000" w:themeColor="text1"/>
          <w:sz w:val="24"/>
          <w:szCs w:val="24"/>
          <w:lang w:eastAsia="fr-FR"/>
        </w:rPr>
        <w:t xml:space="preserve">), </w:t>
      </w:r>
      <w:r w:rsidR="000229E3">
        <w:rPr>
          <w:rFonts w:ascii="Times New Roman" w:eastAsia="Times New Roman" w:hAnsi="Times New Roman" w:cs="Times New Roman"/>
          <w:color w:val="000000" w:themeColor="text1"/>
          <w:sz w:val="24"/>
          <w:szCs w:val="24"/>
          <w:lang w:eastAsia="fr-FR"/>
        </w:rPr>
        <w:t>l’association requérante n’est pas fondée, au regard de son</w:t>
      </w:r>
      <w:r w:rsidR="009E7ADF">
        <w:rPr>
          <w:rFonts w:ascii="Times New Roman" w:eastAsia="Times New Roman" w:hAnsi="Times New Roman" w:cs="Times New Roman"/>
          <w:color w:val="000000" w:themeColor="text1"/>
          <w:sz w:val="24"/>
          <w:szCs w:val="24"/>
          <w:lang w:eastAsia="fr-FR"/>
        </w:rPr>
        <w:t xml:space="preserve"> argumentation, à soutenir que le préfet des Alpes-Maritimes a entaché l’arrêté attaqué d’une erreur manifeste d’appréciation au regard des dispositions précitées de l’article R. 111-27 du code de l’urbanisme. Ce moyen, tel qu’il est développé par l’association requérante, doit alors être écarté.  </w:t>
      </w:r>
    </w:p>
    <w:p w14:paraId="499E0834" w14:textId="1A5983E9" w:rsidR="00273E52" w:rsidRDefault="00273E52" w:rsidP="007775E4">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77263D6F" w14:textId="72E42EF7" w:rsidR="00273E52" w:rsidRPr="00273E52" w:rsidRDefault="00273E52" w:rsidP="00165B0F">
      <w:pPr>
        <w:spacing w:after="0" w:line="240" w:lineRule="auto"/>
        <w:jc w:val="both"/>
        <w:rPr>
          <w:rFonts w:ascii="Times New Roman" w:eastAsia="Times New Roman" w:hAnsi="Times New Roman" w:cs="Times New Roman"/>
          <w:b/>
          <w:color w:val="000000" w:themeColor="text1"/>
          <w:sz w:val="24"/>
          <w:szCs w:val="24"/>
          <w:u w:val="single"/>
          <w:lang w:eastAsia="fr-FR"/>
        </w:rPr>
      </w:pPr>
      <w:r w:rsidRPr="00273E52">
        <w:rPr>
          <w:rFonts w:ascii="Times New Roman" w:eastAsia="Times New Roman" w:hAnsi="Times New Roman" w:cs="Times New Roman"/>
          <w:b/>
          <w:color w:val="000000" w:themeColor="text1"/>
          <w:sz w:val="24"/>
          <w:szCs w:val="24"/>
          <w:u w:val="single"/>
          <w:lang w:eastAsia="fr-FR"/>
        </w:rPr>
        <w:t xml:space="preserve">Sur le moyen tiré de la prétendue méconnaissance de l’article L. 163-1 du code de l’environnement : </w:t>
      </w:r>
    </w:p>
    <w:p w14:paraId="5DA2CFF6" w14:textId="32C4961E" w:rsidR="00273E52" w:rsidRDefault="00273E52" w:rsidP="007775E4">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3ABFC8CD" w14:textId="75AA7445" w:rsidR="00273E52" w:rsidRDefault="00E41E3A" w:rsidP="007775E4">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55</w:t>
      </w:r>
      <w:r w:rsidR="00273E52">
        <w:rPr>
          <w:rFonts w:ascii="Times New Roman" w:eastAsia="Times New Roman" w:hAnsi="Times New Roman" w:cs="Times New Roman"/>
          <w:color w:val="000000" w:themeColor="text1"/>
          <w:sz w:val="24"/>
          <w:szCs w:val="24"/>
          <w:lang w:eastAsia="fr-FR"/>
        </w:rPr>
        <w:t xml:space="preserve">. </w:t>
      </w:r>
      <w:r w:rsidR="00E03634">
        <w:rPr>
          <w:rFonts w:ascii="Times New Roman" w:eastAsia="Times New Roman" w:hAnsi="Times New Roman" w:cs="Times New Roman"/>
          <w:color w:val="000000" w:themeColor="text1"/>
          <w:sz w:val="24"/>
          <w:szCs w:val="24"/>
          <w:lang w:eastAsia="fr-FR"/>
        </w:rPr>
        <w:t>Aux termes de l’article L. 163-1 du code de l’environnement : « </w:t>
      </w:r>
      <w:r w:rsidR="00E03634" w:rsidRPr="00E03634">
        <w:rPr>
          <w:rFonts w:ascii="Times New Roman" w:eastAsia="Times New Roman" w:hAnsi="Times New Roman" w:cs="Times New Roman"/>
          <w:i/>
          <w:color w:val="000000" w:themeColor="text1"/>
          <w:sz w:val="24"/>
          <w:szCs w:val="24"/>
          <w:lang w:eastAsia="fr-FR"/>
        </w:rPr>
        <w:t>I. - Les mesures de compensation des atteintes à la biodiversité sont les mesures prévues au 2° du II de l'article L. 110-1 et rendues obligatoires par un texte législatif ou réglementaire pour compenser, dans le respect de leur équivalence écologique, les atteintes prévues ou prévisibles à la biodiversité occasionnées par la réalisation d'un projet de travaux ou d'ouvrage ou par la réalisation d'activités ou l'exécution d'un plan, d'un schéma, d'un programme ou d'un autre document de planification. / Les mesures de compensation des atteintes à la biodiversité visent un objectif d'absence de perte nette, voire de gain de biodiversité. Elles doivent se traduire par une obligation de résultats et être effectives pendant toute la durée des atteintes. Elles ne peuvent pas se substituer aux mesures d'évitement et de réduction. Si les atteintes liées au projet ne peuvent être ni évitées, ni réduites, ni compensées de façon satisfaisante, celui-ci n'est pas autorisé en l'état. / (…)</w:t>
      </w:r>
      <w:r w:rsidR="00E03634">
        <w:rPr>
          <w:rFonts w:ascii="Times New Roman" w:eastAsia="Times New Roman" w:hAnsi="Times New Roman" w:cs="Times New Roman"/>
          <w:color w:val="000000" w:themeColor="text1"/>
          <w:sz w:val="24"/>
          <w:szCs w:val="24"/>
          <w:lang w:eastAsia="fr-FR"/>
        </w:rPr>
        <w:t xml:space="preserve"> ». </w:t>
      </w:r>
    </w:p>
    <w:p w14:paraId="20E9B337" w14:textId="29D75D48" w:rsidR="00E03634" w:rsidRDefault="00E03634" w:rsidP="007775E4">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46226A5F" w14:textId="5FCDC915" w:rsidR="00E03634" w:rsidRDefault="00E41E3A" w:rsidP="000229E3">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56</w:t>
      </w:r>
      <w:r w:rsidR="000229E3">
        <w:rPr>
          <w:rFonts w:ascii="Times New Roman" w:eastAsia="Times New Roman" w:hAnsi="Times New Roman" w:cs="Times New Roman"/>
          <w:color w:val="000000" w:themeColor="text1"/>
          <w:sz w:val="24"/>
          <w:szCs w:val="24"/>
          <w:lang w:eastAsia="fr-FR"/>
        </w:rPr>
        <w:t>. En l’espèce,</w:t>
      </w:r>
      <w:r w:rsidR="00954B96">
        <w:rPr>
          <w:rFonts w:ascii="Times New Roman" w:eastAsia="Times New Roman" w:hAnsi="Times New Roman" w:cs="Times New Roman"/>
          <w:color w:val="000000" w:themeColor="text1"/>
          <w:sz w:val="24"/>
          <w:szCs w:val="24"/>
          <w:lang w:eastAsia="fr-FR"/>
        </w:rPr>
        <w:t xml:space="preserve"> l’association requéran</w:t>
      </w:r>
      <w:r w:rsidR="000229E3">
        <w:rPr>
          <w:rFonts w:ascii="Times New Roman" w:eastAsia="Times New Roman" w:hAnsi="Times New Roman" w:cs="Times New Roman"/>
          <w:color w:val="000000" w:themeColor="text1"/>
          <w:sz w:val="24"/>
          <w:szCs w:val="24"/>
          <w:lang w:eastAsia="fr-FR"/>
        </w:rPr>
        <w:t xml:space="preserve">te ne saurait </w:t>
      </w:r>
      <w:r w:rsidR="00954B96">
        <w:rPr>
          <w:rFonts w:ascii="Times New Roman" w:eastAsia="Times New Roman" w:hAnsi="Times New Roman" w:cs="Times New Roman"/>
          <w:color w:val="000000" w:themeColor="text1"/>
          <w:sz w:val="24"/>
          <w:szCs w:val="24"/>
          <w:lang w:eastAsia="fr-FR"/>
        </w:rPr>
        <w:t>utilement, au regard du principe d’indépendance des législations, se prévaloir de</w:t>
      </w:r>
      <w:r w:rsidR="000229E3">
        <w:rPr>
          <w:rFonts w:ascii="Times New Roman" w:eastAsia="Times New Roman" w:hAnsi="Times New Roman" w:cs="Times New Roman"/>
          <w:color w:val="000000" w:themeColor="text1"/>
          <w:sz w:val="24"/>
          <w:szCs w:val="24"/>
          <w:lang w:eastAsia="fr-FR"/>
        </w:rPr>
        <w:t>s</w:t>
      </w:r>
      <w:r w:rsidR="00954B96">
        <w:rPr>
          <w:rFonts w:ascii="Times New Roman" w:eastAsia="Times New Roman" w:hAnsi="Times New Roman" w:cs="Times New Roman"/>
          <w:color w:val="000000" w:themeColor="text1"/>
          <w:sz w:val="24"/>
          <w:szCs w:val="24"/>
          <w:lang w:eastAsia="fr-FR"/>
        </w:rPr>
        <w:t xml:space="preserve"> </w:t>
      </w:r>
      <w:r w:rsidR="000229E3" w:rsidRPr="000229E3">
        <w:rPr>
          <w:rFonts w:ascii="Times New Roman" w:eastAsia="Times New Roman" w:hAnsi="Times New Roman" w:cs="Times New Roman"/>
          <w:color w:val="000000" w:themeColor="text1"/>
          <w:sz w:val="24"/>
          <w:szCs w:val="24"/>
          <w:lang w:eastAsia="fr-FR"/>
        </w:rPr>
        <w:t>insuffisances de l’étude d’impact quant aux mesures prévues pour compenser les effets négatifs du projet sur la biodiversité</w:t>
      </w:r>
      <w:r w:rsidR="000229E3">
        <w:rPr>
          <w:rFonts w:ascii="Times New Roman" w:eastAsia="Times New Roman" w:hAnsi="Times New Roman" w:cs="Times New Roman"/>
          <w:color w:val="000000" w:themeColor="text1"/>
          <w:sz w:val="24"/>
          <w:szCs w:val="24"/>
          <w:lang w:eastAsia="fr-FR"/>
        </w:rPr>
        <w:t xml:space="preserve"> </w:t>
      </w:r>
      <w:r w:rsidR="00954B96">
        <w:rPr>
          <w:rFonts w:ascii="Times New Roman" w:eastAsia="Times New Roman" w:hAnsi="Times New Roman" w:cs="Times New Roman"/>
          <w:color w:val="000000" w:themeColor="text1"/>
          <w:sz w:val="24"/>
          <w:szCs w:val="24"/>
          <w:lang w:eastAsia="fr-FR"/>
        </w:rPr>
        <w:t>pour soutenir que ledit arrêté, édicté</w:t>
      </w:r>
      <w:r w:rsidR="00954B96" w:rsidRPr="00954B96">
        <w:rPr>
          <w:rFonts w:ascii="Times New Roman" w:eastAsia="Times New Roman" w:hAnsi="Times New Roman" w:cs="Times New Roman"/>
          <w:color w:val="000000" w:themeColor="text1"/>
          <w:sz w:val="24"/>
          <w:szCs w:val="24"/>
          <w:lang w:eastAsia="fr-FR"/>
        </w:rPr>
        <w:t xml:space="preserve"> sur le fondement de la </w:t>
      </w:r>
      <w:r w:rsidR="00954B96">
        <w:rPr>
          <w:rFonts w:ascii="Times New Roman" w:eastAsia="Times New Roman" w:hAnsi="Times New Roman" w:cs="Times New Roman"/>
          <w:color w:val="000000" w:themeColor="text1"/>
          <w:sz w:val="24"/>
          <w:szCs w:val="24"/>
          <w:lang w:eastAsia="fr-FR"/>
        </w:rPr>
        <w:t xml:space="preserve">seule </w:t>
      </w:r>
      <w:r w:rsidR="00954B96" w:rsidRPr="00954B96">
        <w:rPr>
          <w:rFonts w:ascii="Times New Roman" w:eastAsia="Times New Roman" w:hAnsi="Times New Roman" w:cs="Times New Roman"/>
          <w:color w:val="000000" w:themeColor="text1"/>
          <w:sz w:val="24"/>
          <w:szCs w:val="24"/>
          <w:lang w:eastAsia="fr-FR"/>
        </w:rPr>
        <w:t>législation d’urbanisme</w:t>
      </w:r>
      <w:r w:rsidR="00954B96">
        <w:rPr>
          <w:rFonts w:ascii="Times New Roman" w:eastAsia="Times New Roman" w:hAnsi="Times New Roman" w:cs="Times New Roman"/>
          <w:color w:val="000000" w:themeColor="text1"/>
          <w:sz w:val="24"/>
          <w:szCs w:val="24"/>
          <w:lang w:eastAsia="fr-FR"/>
        </w:rPr>
        <w:t xml:space="preserve">, méconnaît les seules dispositions de l’article L. 163-1 du code de l’environnement. Ce moyen doit ainsi être écarté. </w:t>
      </w:r>
    </w:p>
    <w:p w14:paraId="7BF877D3" w14:textId="185262A6" w:rsidR="004449DF" w:rsidRDefault="004449DF" w:rsidP="00954B96">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2B9F48E8" w14:textId="46E3A989" w:rsidR="004449DF" w:rsidRPr="004449DF" w:rsidRDefault="004449DF" w:rsidP="000229E3">
      <w:pPr>
        <w:spacing w:after="0" w:line="240" w:lineRule="auto"/>
        <w:jc w:val="both"/>
        <w:rPr>
          <w:rFonts w:ascii="Times New Roman" w:eastAsia="Times New Roman" w:hAnsi="Times New Roman" w:cs="Times New Roman"/>
          <w:b/>
          <w:color w:val="000000" w:themeColor="text1"/>
          <w:sz w:val="24"/>
          <w:szCs w:val="24"/>
          <w:u w:val="single"/>
          <w:lang w:eastAsia="fr-FR"/>
        </w:rPr>
      </w:pPr>
      <w:r w:rsidRPr="004449DF">
        <w:rPr>
          <w:rFonts w:ascii="Times New Roman" w:eastAsia="Times New Roman" w:hAnsi="Times New Roman" w:cs="Times New Roman"/>
          <w:b/>
          <w:color w:val="000000" w:themeColor="text1"/>
          <w:sz w:val="24"/>
          <w:szCs w:val="24"/>
          <w:u w:val="single"/>
          <w:lang w:eastAsia="fr-FR"/>
        </w:rPr>
        <w:t xml:space="preserve">Sur le moyen tiré de la prétendue méconnaissance des dispositions de l’article R. 111-2 du code de l’urbanisme : </w:t>
      </w:r>
    </w:p>
    <w:p w14:paraId="26EBBC7F" w14:textId="075E211F" w:rsidR="004449DF" w:rsidRDefault="004449DF" w:rsidP="00954B96">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41295956" w14:textId="2352D099" w:rsidR="004449DF" w:rsidRDefault="00E41E3A" w:rsidP="00954B96">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57</w:t>
      </w:r>
      <w:r w:rsidR="004449DF">
        <w:rPr>
          <w:rFonts w:ascii="Times New Roman" w:eastAsia="Times New Roman" w:hAnsi="Times New Roman" w:cs="Times New Roman"/>
          <w:color w:val="000000" w:themeColor="text1"/>
          <w:sz w:val="24"/>
          <w:szCs w:val="24"/>
          <w:lang w:eastAsia="fr-FR"/>
        </w:rPr>
        <w:t xml:space="preserve">. </w:t>
      </w:r>
      <w:r w:rsidR="000552C0" w:rsidRPr="000552C0">
        <w:rPr>
          <w:rFonts w:ascii="Times New Roman" w:eastAsia="Times New Roman" w:hAnsi="Times New Roman" w:cs="Times New Roman"/>
          <w:color w:val="000000" w:themeColor="text1"/>
          <w:sz w:val="24"/>
          <w:szCs w:val="24"/>
          <w:lang w:eastAsia="fr-FR"/>
        </w:rPr>
        <w:t xml:space="preserve">Aux termes de l’article R. 111-2 du code de l’urbanisme : « </w:t>
      </w:r>
      <w:r w:rsidR="000552C0" w:rsidRPr="000552C0">
        <w:rPr>
          <w:rFonts w:ascii="Times New Roman" w:eastAsia="Times New Roman" w:hAnsi="Times New Roman" w:cs="Times New Roman"/>
          <w:i/>
          <w:color w:val="000000" w:themeColor="text1"/>
          <w:sz w:val="24"/>
          <w:szCs w:val="24"/>
          <w:lang w:eastAsia="fr-FR"/>
        </w:rPr>
        <w:t xml:space="preserve">Le projet peut être refusé ou n'être accepté que sous réserve de l'observation de prescriptions spéciales s'il est de nature à porter atteinte à la salubrité ou à la sécurité publique du fait de sa situation, de ses caractéristiques, de son importance ou de son implantation à proximité d'autres </w:t>
      </w:r>
      <w:proofErr w:type="gramStart"/>
      <w:r w:rsidR="000552C0" w:rsidRPr="000552C0">
        <w:rPr>
          <w:rFonts w:ascii="Times New Roman" w:eastAsia="Times New Roman" w:hAnsi="Times New Roman" w:cs="Times New Roman"/>
          <w:i/>
          <w:color w:val="000000" w:themeColor="text1"/>
          <w:sz w:val="24"/>
          <w:szCs w:val="24"/>
          <w:lang w:eastAsia="fr-FR"/>
        </w:rPr>
        <w:t>installations</w:t>
      </w:r>
      <w:r w:rsidR="000552C0" w:rsidRPr="000552C0">
        <w:rPr>
          <w:rFonts w:ascii="Times New Roman" w:eastAsia="Times New Roman" w:hAnsi="Times New Roman" w:cs="Times New Roman"/>
          <w:color w:val="000000" w:themeColor="text1"/>
          <w:sz w:val="24"/>
          <w:szCs w:val="24"/>
          <w:lang w:eastAsia="fr-FR"/>
        </w:rPr>
        <w:t>»</w:t>
      </w:r>
      <w:proofErr w:type="gramEnd"/>
      <w:r w:rsidR="000552C0" w:rsidRPr="000552C0">
        <w:rPr>
          <w:rFonts w:ascii="Times New Roman" w:eastAsia="Times New Roman" w:hAnsi="Times New Roman" w:cs="Times New Roman"/>
          <w:color w:val="000000" w:themeColor="text1"/>
          <w:sz w:val="24"/>
          <w:szCs w:val="24"/>
          <w:lang w:eastAsia="fr-FR"/>
        </w:rPr>
        <w:t>.</w:t>
      </w:r>
    </w:p>
    <w:p w14:paraId="4FECE972" w14:textId="19B8F016" w:rsidR="000552C0" w:rsidRDefault="000552C0" w:rsidP="00954B96">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66DF3F47" w14:textId="77777777" w:rsidR="00E436D7" w:rsidRDefault="00E436D7" w:rsidP="00954B96">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37C94FE0" w14:textId="2B139F47" w:rsidR="000552C0" w:rsidRDefault="00E41E3A" w:rsidP="00954B96">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lastRenderedPageBreak/>
        <w:t>58</w:t>
      </w:r>
      <w:r w:rsidR="000552C0">
        <w:rPr>
          <w:rFonts w:ascii="Times New Roman" w:eastAsia="Times New Roman" w:hAnsi="Times New Roman" w:cs="Times New Roman"/>
          <w:color w:val="000000" w:themeColor="text1"/>
          <w:sz w:val="24"/>
          <w:szCs w:val="24"/>
          <w:lang w:eastAsia="fr-FR"/>
        </w:rPr>
        <w:t xml:space="preserve">. </w:t>
      </w:r>
      <w:r w:rsidR="000552C0" w:rsidRPr="000552C0">
        <w:rPr>
          <w:rFonts w:ascii="Times New Roman" w:eastAsia="Times New Roman" w:hAnsi="Times New Roman" w:cs="Times New Roman"/>
          <w:color w:val="000000" w:themeColor="text1"/>
          <w:sz w:val="24"/>
          <w:szCs w:val="24"/>
          <w:lang w:eastAsia="fr-FR"/>
        </w:rPr>
        <w:t>Il appartient à l'autorité d'urbanisme compétente et au juge de l'excès de pouvoir, pour apprécier si les risques d'atteinte à la salubrité ou à la sécurité publique justifient un refus de permis de construire sur le fondement des dispositions précitées de l'article R. 111-2 du code de l’urbanisme, de tenir compte tant de la probabilité de réalisation de ces risques que de la gravité de leurs conséquences, s'ils se réalisent. Lorsqu'un projet de construction est de nature à porter atteinte à la salubrité ou à la sécurité publique, le permis de construire ne peut être refusé que si l'autorité compétente estime, sous le contrôle du juge, qu'il n'est pas légalement possible, au vu du dossier et de l'instruction de la demande de permis, d'accorder le permis en l'assortissant de prescriptions spéciales qui, sans apporter au projet de modification substantielle nécessitant la présentation d'une nouvelle demande, permettraient d'assurer la conformité de la construction aux dispositions législatives et réglementaires dont l'administration est chargée d'assurer le respect.</w:t>
      </w:r>
    </w:p>
    <w:p w14:paraId="17E3E3DF" w14:textId="262FBE84" w:rsidR="000552C0" w:rsidRDefault="000552C0" w:rsidP="00954B96">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15E54F60" w14:textId="2A5E5832" w:rsidR="00675E0B" w:rsidRDefault="00E41E3A" w:rsidP="00675E0B">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59</w:t>
      </w:r>
      <w:r w:rsidR="000552C0">
        <w:rPr>
          <w:rFonts w:ascii="Times New Roman" w:eastAsia="Times New Roman" w:hAnsi="Times New Roman" w:cs="Times New Roman"/>
          <w:color w:val="000000" w:themeColor="text1"/>
          <w:sz w:val="24"/>
          <w:szCs w:val="24"/>
          <w:lang w:eastAsia="fr-FR"/>
        </w:rPr>
        <w:t>. En l’espèce, en se bornant à ret</w:t>
      </w:r>
      <w:r w:rsidR="00675E0B">
        <w:rPr>
          <w:rFonts w:ascii="Times New Roman" w:eastAsia="Times New Roman" w:hAnsi="Times New Roman" w:cs="Times New Roman"/>
          <w:color w:val="000000" w:themeColor="text1"/>
          <w:sz w:val="24"/>
          <w:szCs w:val="24"/>
          <w:lang w:eastAsia="fr-FR"/>
        </w:rPr>
        <w:t xml:space="preserve">ranscrire dans ses écritures des seuls extraits relatifs au risque incendie du </w:t>
      </w:r>
      <w:r w:rsidR="000552C0">
        <w:rPr>
          <w:rFonts w:ascii="Times New Roman" w:eastAsia="Times New Roman" w:hAnsi="Times New Roman" w:cs="Times New Roman"/>
          <w:color w:val="000000" w:themeColor="text1"/>
          <w:sz w:val="24"/>
          <w:szCs w:val="24"/>
          <w:lang w:eastAsia="fr-FR"/>
        </w:rPr>
        <w:t xml:space="preserve">rapport du commissaire enquêteur </w:t>
      </w:r>
      <w:r w:rsidR="00675E0B">
        <w:rPr>
          <w:rFonts w:ascii="Times New Roman" w:eastAsia="Times New Roman" w:hAnsi="Times New Roman" w:cs="Times New Roman"/>
          <w:color w:val="000000" w:themeColor="text1"/>
          <w:sz w:val="24"/>
          <w:szCs w:val="24"/>
          <w:lang w:eastAsia="fr-FR"/>
        </w:rPr>
        <w:t>(</w:t>
      </w:r>
      <w:r w:rsidR="00675E0B" w:rsidRPr="000229E3">
        <w:rPr>
          <w:rFonts w:ascii="Times New Roman" w:eastAsia="Times New Roman" w:hAnsi="Times New Roman" w:cs="Times New Roman"/>
          <w:i/>
          <w:color w:val="000000" w:themeColor="text1"/>
          <w:sz w:val="24"/>
          <w:szCs w:val="24"/>
          <w:lang w:eastAsia="fr-FR"/>
        </w:rPr>
        <w:t>pages 51 à 53</w:t>
      </w:r>
      <w:r w:rsidR="00675E0B" w:rsidRPr="00675E0B">
        <w:rPr>
          <w:rFonts w:ascii="Times New Roman" w:eastAsia="Times New Roman" w:hAnsi="Times New Roman" w:cs="Times New Roman"/>
          <w:color w:val="000000" w:themeColor="text1"/>
          <w:sz w:val="24"/>
          <w:szCs w:val="24"/>
          <w:lang w:eastAsia="fr-FR"/>
        </w:rPr>
        <w:t>)</w:t>
      </w:r>
      <w:r w:rsidR="00675E0B">
        <w:rPr>
          <w:rFonts w:ascii="Times New Roman" w:eastAsia="Times New Roman" w:hAnsi="Times New Roman" w:cs="Times New Roman"/>
          <w:color w:val="000000" w:themeColor="text1"/>
          <w:sz w:val="24"/>
          <w:szCs w:val="24"/>
          <w:lang w:eastAsia="fr-FR"/>
        </w:rPr>
        <w:t>, sans même reprendre une quelconque argumentation à son compte, l’association requérante ne saurait être regardée comme étant fondée à soutenir que le préfet des Alpes-Maritimes a entaché l’arrêté attaqué du 1</w:t>
      </w:r>
      <w:r w:rsidR="00675E0B" w:rsidRPr="00675E0B">
        <w:rPr>
          <w:rFonts w:ascii="Times New Roman" w:eastAsia="Times New Roman" w:hAnsi="Times New Roman" w:cs="Times New Roman"/>
          <w:color w:val="000000" w:themeColor="text1"/>
          <w:sz w:val="24"/>
          <w:szCs w:val="24"/>
          <w:vertAlign w:val="superscript"/>
          <w:lang w:eastAsia="fr-FR"/>
        </w:rPr>
        <w:t>er</w:t>
      </w:r>
      <w:r w:rsidR="00675E0B">
        <w:rPr>
          <w:rFonts w:ascii="Times New Roman" w:eastAsia="Times New Roman" w:hAnsi="Times New Roman" w:cs="Times New Roman"/>
          <w:color w:val="000000" w:themeColor="text1"/>
          <w:sz w:val="24"/>
          <w:szCs w:val="24"/>
          <w:lang w:eastAsia="fr-FR"/>
        </w:rPr>
        <w:t xml:space="preserve"> mars 2024 d’une erreur manifeste d’appréciation au regard des dispositions de l’article R. 111-2 du code de l’urbanisme. </w:t>
      </w:r>
    </w:p>
    <w:p w14:paraId="07A46FCA" w14:textId="77777777" w:rsidR="00675E0B" w:rsidRDefault="00675E0B" w:rsidP="00675E0B">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10AC8554" w14:textId="1367AE1D" w:rsidR="000552C0" w:rsidRDefault="00E41E3A" w:rsidP="007F5364">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60</w:t>
      </w:r>
      <w:r w:rsidR="00675E0B">
        <w:rPr>
          <w:rFonts w:ascii="Times New Roman" w:eastAsia="Times New Roman" w:hAnsi="Times New Roman" w:cs="Times New Roman"/>
          <w:color w:val="000000" w:themeColor="text1"/>
          <w:sz w:val="24"/>
          <w:szCs w:val="24"/>
          <w:lang w:eastAsia="fr-FR"/>
        </w:rPr>
        <w:t>. E</w:t>
      </w:r>
      <w:r w:rsidR="007F5364">
        <w:rPr>
          <w:rFonts w:ascii="Times New Roman" w:eastAsia="Times New Roman" w:hAnsi="Times New Roman" w:cs="Times New Roman"/>
          <w:color w:val="000000" w:themeColor="text1"/>
          <w:sz w:val="24"/>
          <w:szCs w:val="24"/>
          <w:lang w:eastAsia="fr-FR"/>
        </w:rPr>
        <w:t xml:space="preserve">n tout état de cause, </w:t>
      </w:r>
      <w:r w:rsidR="007F5364" w:rsidRPr="007F5364">
        <w:rPr>
          <w:rFonts w:ascii="Times New Roman" w:eastAsia="Times New Roman" w:hAnsi="Times New Roman" w:cs="Times New Roman"/>
          <w:color w:val="000000" w:themeColor="text1"/>
          <w:sz w:val="24"/>
          <w:szCs w:val="24"/>
          <w:lang w:eastAsia="fr-FR"/>
        </w:rPr>
        <w:t xml:space="preserve">il ressort des pièces du dossier que l’étude d’impact comprenait une notice de sécurité, cotée « Annexe 6 », destinée à mettre en œuvre l’ensemble des préconisations du service départemental d'incendie et de secours des Alpes-Maritimes permettant d’assurer la protection du site par rapport au risque incendie. Il ressort des termes mêmes de cette notice qu’elle a été établie en concertation directe avec le service départemental d'incendie et de secours des Alpes-Maritimes sur la base d’une doctrine départementale dudit service propre « aux champs photovoltaïques ». D’une part, il ne ressort d’aucune pièce du dossier qu’un tel risque aurait été, en l’espèce, sous-estimé dès lors que la notice de sécurité précitée en fait précisément mention en identifiant un risque incendie « propre au site » du fait de la présence d’un massif forestier, un risque incendie « induit » issu d’un acte de malveillance ou d’un accident lors de la phase de chantier et un risque incendie « subit » qui proviendrait des massifs situés aux alentours. D’autre part, il est constant que la notice de sécurité fait état, pour chacun des types de risque incendie précités, de mesures destinées à prévenir et </w:t>
      </w:r>
      <w:r w:rsidR="00F5284B">
        <w:rPr>
          <w:rFonts w:ascii="Times New Roman" w:eastAsia="Times New Roman" w:hAnsi="Times New Roman" w:cs="Times New Roman"/>
          <w:color w:val="000000" w:themeColor="text1"/>
          <w:sz w:val="24"/>
          <w:szCs w:val="24"/>
          <w:lang w:eastAsia="fr-FR"/>
        </w:rPr>
        <w:t xml:space="preserve">à éviter la survenance de ces </w:t>
      </w:r>
      <w:r w:rsidR="007F5364" w:rsidRPr="007F5364">
        <w:rPr>
          <w:rFonts w:ascii="Times New Roman" w:eastAsia="Times New Roman" w:hAnsi="Times New Roman" w:cs="Times New Roman"/>
          <w:color w:val="000000" w:themeColor="text1"/>
          <w:sz w:val="24"/>
          <w:szCs w:val="24"/>
          <w:lang w:eastAsia="fr-FR"/>
        </w:rPr>
        <w:t>risque</w:t>
      </w:r>
      <w:r w:rsidR="00F5284B">
        <w:rPr>
          <w:rFonts w:ascii="Times New Roman" w:eastAsia="Times New Roman" w:hAnsi="Times New Roman" w:cs="Times New Roman"/>
          <w:color w:val="000000" w:themeColor="text1"/>
          <w:sz w:val="24"/>
          <w:szCs w:val="24"/>
          <w:lang w:eastAsia="fr-FR"/>
        </w:rPr>
        <w:t>s</w:t>
      </w:r>
      <w:r w:rsidR="007F5364" w:rsidRPr="007F5364">
        <w:rPr>
          <w:rFonts w:ascii="Times New Roman" w:eastAsia="Times New Roman" w:hAnsi="Times New Roman" w:cs="Times New Roman"/>
          <w:color w:val="000000" w:themeColor="text1"/>
          <w:sz w:val="24"/>
          <w:szCs w:val="24"/>
          <w:lang w:eastAsia="fr-FR"/>
        </w:rPr>
        <w:t xml:space="preserve"> alors qu’en outre, il ressort des pièces du dossier que des opérations de débroussaillement du site </w:t>
      </w:r>
      <w:r w:rsidR="00F5284B">
        <w:rPr>
          <w:rFonts w:ascii="Times New Roman" w:eastAsia="Times New Roman" w:hAnsi="Times New Roman" w:cs="Times New Roman"/>
          <w:color w:val="000000" w:themeColor="text1"/>
          <w:sz w:val="24"/>
          <w:szCs w:val="24"/>
          <w:lang w:eastAsia="fr-FR"/>
        </w:rPr>
        <w:t>consistant</w:t>
      </w:r>
      <w:r w:rsidR="007F5364" w:rsidRPr="007F5364">
        <w:rPr>
          <w:rFonts w:ascii="Times New Roman" w:eastAsia="Times New Roman" w:hAnsi="Times New Roman" w:cs="Times New Roman"/>
          <w:color w:val="000000" w:themeColor="text1"/>
          <w:sz w:val="24"/>
          <w:szCs w:val="24"/>
          <w:lang w:eastAsia="fr-FR"/>
        </w:rPr>
        <w:t xml:space="preserve"> à réduire les matières végétales de toute </w:t>
      </w:r>
      <w:r w:rsidR="00F5284B">
        <w:rPr>
          <w:rFonts w:ascii="Times New Roman" w:eastAsia="Times New Roman" w:hAnsi="Times New Roman" w:cs="Times New Roman"/>
          <w:color w:val="000000" w:themeColor="text1"/>
          <w:sz w:val="24"/>
          <w:szCs w:val="24"/>
          <w:lang w:eastAsia="fr-FR"/>
        </w:rPr>
        <w:t xml:space="preserve">nature </w:t>
      </w:r>
      <w:r w:rsidR="007F5364" w:rsidRPr="007F5364">
        <w:rPr>
          <w:rFonts w:ascii="Times New Roman" w:eastAsia="Times New Roman" w:hAnsi="Times New Roman" w:cs="Times New Roman"/>
          <w:color w:val="000000" w:themeColor="text1"/>
          <w:sz w:val="24"/>
          <w:szCs w:val="24"/>
          <w:lang w:eastAsia="fr-FR"/>
        </w:rPr>
        <w:t>ont vocation à assurer la ma</w:t>
      </w:r>
      <w:r w:rsidR="007F5364">
        <w:rPr>
          <w:rFonts w:ascii="Times New Roman" w:eastAsia="Times New Roman" w:hAnsi="Times New Roman" w:cs="Times New Roman"/>
          <w:color w:val="000000" w:themeColor="text1"/>
          <w:sz w:val="24"/>
          <w:szCs w:val="24"/>
          <w:lang w:eastAsia="fr-FR"/>
        </w:rPr>
        <w:t>itrise du risque incendie. En outre</w:t>
      </w:r>
      <w:r w:rsidR="007F5364" w:rsidRPr="007F5364">
        <w:rPr>
          <w:rFonts w:ascii="Times New Roman" w:eastAsia="Times New Roman" w:hAnsi="Times New Roman" w:cs="Times New Roman"/>
          <w:color w:val="000000" w:themeColor="text1"/>
          <w:sz w:val="24"/>
          <w:szCs w:val="24"/>
          <w:lang w:eastAsia="fr-FR"/>
        </w:rPr>
        <w:t>, il ne ressort d’aucune pièce du dossier que les conditions de défense extérieure avec notamment la présence de cinq citernes d’eau d’une contenance de soixante mètres cubes tel que cela ressort de l’étude d’impact (</w:t>
      </w:r>
      <w:r w:rsidR="007F5364" w:rsidRPr="007F5364">
        <w:rPr>
          <w:rFonts w:ascii="Times New Roman" w:eastAsia="Times New Roman" w:hAnsi="Times New Roman" w:cs="Times New Roman"/>
          <w:i/>
          <w:color w:val="000000" w:themeColor="text1"/>
          <w:sz w:val="24"/>
          <w:szCs w:val="24"/>
          <w:lang w:eastAsia="fr-FR"/>
        </w:rPr>
        <w:t>page 400</w:t>
      </w:r>
      <w:r w:rsidR="007F5364" w:rsidRPr="007F5364">
        <w:rPr>
          <w:rFonts w:ascii="Times New Roman" w:eastAsia="Times New Roman" w:hAnsi="Times New Roman" w:cs="Times New Roman"/>
          <w:color w:val="000000" w:themeColor="text1"/>
          <w:sz w:val="24"/>
          <w:szCs w:val="24"/>
          <w:lang w:eastAsia="fr-FR"/>
        </w:rPr>
        <w:t>) destinées exclusivement à la défense de la forêt contre les incendies seraient insuf</w:t>
      </w:r>
      <w:r w:rsidR="007F5364">
        <w:rPr>
          <w:rFonts w:ascii="Times New Roman" w:eastAsia="Times New Roman" w:hAnsi="Times New Roman" w:cs="Times New Roman"/>
          <w:color w:val="000000" w:themeColor="text1"/>
          <w:sz w:val="24"/>
          <w:szCs w:val="24"/>
          <w:lang w:eastAsia="fr-FR"/>
        </w:rPr>
        <w:t>fisantes</w:t>
      </w:r>
      <w:r w:rsidR="007F5364" w:rsidRPr="007F5364">
        <w:rPr>
          <w:rFonts w:ascii="Times New Roman" w:eastAsia="Times New Roman" w:hAnsi="Times New Roman" w:cs="Times New Roman"/>
          <w:color w:val="000000" w:themeColor="text1"/>
          <w:sz w:val="24"/>
          <w:szCs w:val="24"/>
          <w:lang w:eastAsia="fr-FR"/>
        </w:rPr>
        <w:t xml:space="preserve">. </w:t>
      </w:r>
      <w:r w:rsidR="007F5364">
        <w:rPr>
          <w:rFonts w:ascii="Times New Roman" w:eastAsia="Times New Roman" w:hAnsi="Times New Roman" w:cs="Times New Roman"/>
          <w:color w:val="000000" w:themeColor="text1"/>
          <w:sz w:val="24"/>
          <w:szCs w:val="24"/>
          <w:lang w:eastAsia="fr-FR"/>
        </w:rPr>
        <w:t xml:space="preserve">Enfin, il est constant que </w:t>
      </w:r>
      <w:r w:rsidR="007F5364" w:rsidRPr="007F5364">
        <w:rPr>
          <w:rFonts w:ascii="Times New Roman" w:eastAsia="Times New Roman" w:hAnsi="Times New Roman" w:cs="Times New Roman"/>
          <w:color w:val="000000" w:themeColor="text1"/>
          <w:sz w:val="24"/>
          <w:szCs w:val="24"/>
          <w:lang w:eastAsia="fr-FR"/>
        </w:rPr>
        <w:t>la société pétitionnaire s’est engagée à mettre en œuvre l’ensemble des mesures et préconisations précitées et définies en concertation étroite avec le service départemental d'incendie et de secours des Alpes-Maritimes lequel a émis un avis favorable au projet autorisé par le permis de construire litigieux moyennant le respect de prescriptions intégralement reprise au dernier alinéa de l’article 2 de l’a</w:t>
      </w:r>
      <w:r w:rsidR="007F5364">
        <w:rPr>
          <w:rFonts w:ascii="Times New Roman" w:eastAsia="Times New Roman" w:hAnsi="Times New Roman" w:cs="Times New Roman"/>
          <w:color w:val="000000" w:themeColor="text1"/>
          <w:sz w:val="24"/>
          <w:szCs w:val="24"/>
          <w:lang w:eastAsia="fr-FR"/>
        </w:rPr>
        <w:t xml:space="preserve">rrêté du 1er mars 2024 attaqué. </w:t>
      </w:r>
    </w:p>
    <w:p w14:paraId="02DB59AF" w14:textId="7B686B2D" w:rsidR="007F5364" w:rsidRDefault="007F5364" w:rsidP="007F5364">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54D23D1C" w14:textId="685841A4" w:rsidR="007F5364" w:rsidRDefault="00E41E3A" w:rsidP="007F5364">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61</w:t>
      </w:r>
      <w:r w:rsidR="007F5364">
        <w:rPr>
          <w:rFonts w:ascii="Times New Roman" w:eastAsia="Times New Roman" w:hAnsi="Times New Roman" w:cs="Times New Roman"/>
          <w:color w:val="000000" w:themeColor="text1"/>
          <w:sz w:val="24"/>
          <w:szCs w:val="24"/>
          <w:lang w:eastAsia="fr-FR"/>
        </w:rPr>
        <w:t xml:space="preserve">. Il résulte </w:t>
      </w:r>
      <w:r w:rsidR="00AB6D1E">
        <w:rPr>
          <w:rFonts w:ascii="Times New Roman" w:eastAsia="Times New Roman" w:hAnsi="Times New Roman" w:cs="Times New Roman"/>
          <w:color w:val="000000" w:themeColor="text1"/>
          <w:sz w:val="24"/>
          <w:szCs w:val="24"/>
          <w:lang w:eastAsia="fr-FR"/>
        </w:rPr>
        <w:t xml:space="preserve">alors </w:t>
      </w:r>
      <w:r w:rsidR="007F5364">
        <w:rPr>
          <w:rFonts w:ascii="Times New Roman" w:eastAsia="Times New Roman" w:hAnsi="Times New Roman" w:cs="Times New Roman"/>
          <w:color w:val="000000" w:themeColor="text1"/>
          <w:sz w:val="24"/>
          <w:szCs w:val="24"/>
          <w:lang w:eastAsia="fr-FR"/>
        </w:rPr>
        <w:t xml:space="preserve">de ce qui a été </w:t>
      </w:r>
      <w:r w:rsidR="00AB6D1E">
        <w:rPr>
          <w:rFonts w:ascii="Times New Roman" w:eastAsia="Times New Roman" w:hAnsi="Times New Roman" w:cs="Times New Roman"/>
          <w:color w:val="000000" w:themeColor="text1"/>
          <w:sz w:val="24"/>
          <w:szCs w:val="24"/>
          <w:lang w:eastAsia="fr-FR"/>
        </w:rPr>
        <w:t xml:space="preserve">dit </w:t>
      </w:r>
      <w:r w:rsidR="007F5364">
        <w:rPr>
          <w:rFonts w:ascii="Times New Roman" w:eastAsia="Times New Roman" w:hAnsi="Times New Roman" w:cs="Times New Roman"/>
          <w:color w:val="000000" w:themeColor="text1"/>
          <w:sz w:val="24"/>
          <w:szCs w:val="24"/>
          <w:lang w:eastAsia="fr-FR"/>
        </w:rPr>
        <w:t>aux deux points précédents que le moyen tiré de ce que le préfet des Alpes-Maritimes a entaché l’arrêté attaqué d’une erreur manifeste d’appréciation au regard des dispositions précitées de l’article R. 111-2 du code de l’urbanisme doit être écarté.</w:t>
      </w:r>
    </w:p>
    <w:p w14:paraId="59B0F3A2" w14:textId="77777777" w:rsidR="007F5364" w:rsidRDefault="007F5364" w:rsidP="007F5364">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4045FC76" w14:textId="4C90FBE3" w:rsidR="007F5364" w:rsidRDefault="00376DC8" w:rsidP="008A5BFF">
      <w:pPr>
        <w:spacing w:after="0" w:line="240" w:lineRule="auto"/>
        <w:jc w:val="both"/>
        <w:rPr>
          <w:rFonts w:ascii="Times New Roman" w:hAnsi="Times New Roman" w:cs="Times New Roman"/>
          <w:b/>
          <w:sz w:val="24"/>
          <w:szCs w:val="24"/>
          <w:u w:val="single"/>
        </w:rPr>
      </w:pPr>
      <w:r w:rsidRPr="00376DC8">
        <w:rPr>
          <w:rFonts w:ascii="Times New Roman" w:hAnsi="Times New Roman" w:cs="Times New Roman"/>
          <w:b/>
          <w:sz w:val="24"/>
          <w:szCs w:val="24"/>
          <w:u w:val="single"/>
        </w:rPr>
        <w:lastRenderedPageBreak/>
        <w:t>Sur le moyen invoqué par</w:t>
      </w:r>
      <w:r>
        <w:rPr>
          <w:rFonts w:ascii="Times New Roman" w:hAnsi="Times New Roman" w:cs="Times New Roman"/>
          <w:b/>
          <w:sz w:val="24"/>
          <w:szCs w:val="24"/>
          <w:u w:val="single"/>
        </w:rPr>
        <w:t xml:space="preserve"> la voie de l’exception tiré de la prétendue illégalité du </w:t>
      </w:r>
      <w:r w:rsidR="000229E3">
        <w:rPr>
          <w:rFonts w:ascii="Times New Roman" w:hAnsi="Times New Roman" w:cs="Times New Roman"/>
          <w:b/>
          <w:sz w:val="24"/>
          <w:szCs w:val="24"/>
          <w:u w:val="single"/>
        </w:rPr>
        <w:t xml:space="preserve">règlement du </w:t>
      </w:r>
      <w:proofErr w:type="spellStart"/>
      <w:r>
        <w:rPr>
          <w:rFonts w:ascii="Times New Roman" w:hAnsi="Times New Roman" w:cs="Times New Roman"/>
          <w:b/>
          <w:sz w:val="24"/>
          <w:szCs w:val="24"/>
          <w:u w:val="single"/>
        </w:rPr>
        <w:t>PLUm</w:t>
      </w:r>
      <w:proofErr w:type="spellEnd"/>
      <w:r>
        <w:rPr>
          <w:rFonts w:ascii="Times New Roman" w:hAnsi="Times New Roman" w:cs="Times New Roman"/>
          <w:b/>
          <w:sz w:val="24"/>
          <w:szCs w:val="24"/>
          <w:u w:val="single"/>
        </w:rPr>
        <w:t xml:space="preserve"> : </w:t>
      </w:r>
    </w:p>
    <w:p w14:paraId="717BB08E" w14:textId="01726085" w:rsidR="00376DC8" w:rsidRDefault="00376DC8" w:rsidP="007F5364">
      <w:pPr>
        <w:spacing w:after="0" w:line="240" w:lineRule="auto"/>
        <w:ind w:firstLine="851"/>
        <w:jc w:val="both"/>
        <w:rPr>
          <w:rFonts w:ascii="Times New Roman" w:hAnsi="Times New Roman" w:cs="Times New Roman"/>
          <w:b/>
          <w:sz w:val="24"/>
          <w:szCs w:val="24"/>
          <w:u w:val="single"/>
        </w:rPr>
      </w:pPr>
    </w:p>
    <w:p w14:paraId="44F0B9DD" w14:textId="1F73347B" w:rsidR="00376DC8" w:rsidRDefault="00E41E3A" w:rsidP="00376DC8">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hAnsi="Times New Roman" w:cs="Times New Roman"/>
          <w:sz w:val="24"/>
          <w:szCs w:val="24"/>
        </w:rPr>
        <w:t>62</w:t>
      </w:r>
      <w:r w:rsidR="00376DC8" w:rsidRPr="00376DC8">
        <w:rPr>
          <w:rFonts w:ascii="Times New Roman" w:hAnsi="Times New Roman" w:cs="Times New Roman"/>
          <w:sz w:val="24"/>
          <w:szCs w:val="24"/>
        </w:rPr>
        <w:t xml:space="preserve">. </w:t>
      </w:r>
      <w:r w:rsidR="00E436D7">
        <w:rPr>
          <w:rFonts w:ascii="Times New Roman" w:hAnsi="Times New Roman" w:cs="Times New Roman"/>
          <w:sz w:val="24"/>
          <w:szCs w:val="24"/>
        </w:rPr>
        <w:t>Il</w:t>
      </w:r>
      <w:r w:rsidR="00376DC8">
        <w:rPr>
          <w:rFonts w:ascii="Times New Roman" w:hAnsi="Times New Roman" w:cs="Times New Roman"/>
          <w:sz w:val="24"/>
          <w:szCs w:val="24"/>
        </w:rPr>
        <w:t xml:space="preserve"> ressort des écritures de l’association requérante qu’elle entend contester, par la voie de l’exception, la légalité du </w:t>
      </w:r>
      <w:r w:rsidR="000229E3">
        <w:rPr>
          <w:rFonts w:ascii="Times New Roman" w:hAnsi="Times New Roman" w:cs="Times New Roman"/>
          <w:sz w:val="24"/>
          <w:szCs w:val="24"/>
        </w:rPr>
        <w:t xml:space="preserve">règlement du </w:t>
      </w:r>
      <w:proofErr w:type="spellStart"/>
      <w:r w:rsidR="00376DC8">
        <w:rPr>
          <w:rFonts w:ascii="Times New Roman" w:hAnsi="Times New Roman" w:cs="Times New Roman"/>
          <w:sz w:val="24"/>
          <w:szCs w:val="24"/>
        </w:rPr>
        <w:t>PLUm</w:t>
      </w:r>
      <w:proofErr w:type="spellEnd"/>
      <w:r w:rsidR="00376DC8">
        <w:rPr>
          <w:rFonts w:ascii="Times New Roman" w:hAnsi="Times New Roman" w:cs="Times New Roman"/>
          <w:sz w:val="24"/>
          <w:szCs w:val="24"/>
        </w:rPr>
        <w:t xml:space="preserve"> dans sa version issue de </w:t>
      </w:r>
      <w:r w:rsidR="00376DC8" w:rsidRPr="00376DC8">
        <w:rPr>
          <w:rFonts w:ascii="Times New Roman" w:eastAsia="Times New Roman" w:hAnsi="Times New Roman" w:cs="Times New Roman"/>
          <w:color w:val="000000" w:themeColor="text1"/>
          <w:sz w:val="24"/>
          <w:szCs w:val="24"/>
          <w:lang w:eastAsia="fr-FR"/>
        </w:rPr>
        <w:t>la délibération du 25 septembre 2023 par laquelle le conseil métropolitain de la métropole Nice Côte d’Azur a déclaré d’intérêt général le projet, objet du permis de construire attaqué, et a approuvé cette déclaration emportant mise en compatibilité du</w:t>
      </w:r>
      <w:r w:rsidR="00376DC8">
        <w:rPr>
          <w:rFonts w:ascii="Times New Roman" w:eastAsia="Times New Roman" w:hAnsi="Times New Roman" w:cs="Times New Roman"/>
          <w:color w:val="000000" w:themeColor="text1"/>
          <w:sz w:val="24"/>
          <w:szCs w:val="24"/>
          <w:lang w:eastAsia="fr-FR"/>
        </w:rPr>
        <w:t>dit document d’urbanisme, au regard des modalités d’application d</w:t>
      </w:r>
      <w:r w:rsidR="00376DC8" w:rsidRPr="00376DC8">
        <w:rPr>
          <w:rFonts w:ascii="Times New Roman" w:eastAsia="Times New Roman" w:hAnsi="Times New Roman" w:cs="Times New Roman"/>
          <w:color w:val="000000" w:themeColor="text1"/>
          <w:sz w:val="24"/>
          <w:szCs w:val="24"/>
          <w:lang w:eastAsia="fr-FR"/>
        </w:rPr>
        <w:t xml:space="preserve">es dispositions particulières </w:t>
      </w:r>
      <w:r w:rsidR="00376DC8">
        <w:rPr>
          <w:rFonts w:ascii="Times New Roman" w:eastAsia="Times New Roman" w:hAnsi="Times New Roman" w:cs="Times New Roman"/>
          <w:color w:val="000000" w:themeColor="text1"/>
          <w:sz w:val="24"/>
          <w:szCs w:val="24"/>
          <w:lang w:eastAsia="fr-FR"/>
        </w:rPr>
        <w:t>relatives aux</w:t>
      </w:r>
      <w:r w:rsidR="00376DC8" w:rsidRPr="00376DC8">
        <w:rPr>
          <w:rFonts w:ascii="Times New Roman" w:eastAsia="Times New Roman" w:hAnsi="Times New Roman" w:cs="Times New Roman"/>
          <w:color w:val="000000" w:themeColor="text1"/>
          <w:sz w:val="24"/>
          <w:szCs w:val="24"/>
          <w:lang w:eastAsia="fr-FR"/>
        </w:rPr>
        <w:t xml:space="preserve"> zones de montagne</w:t>
      </w:r>
      <w:r w:rsidR="00376DC8">
        <w:rPr>
          <w:rFonts w:ascii="Times New Roman" w:eastAsia="Times New Roman" w:hAnsi="Times New Roman" w:cs="Times New Roman"/>
          <w:color w:val="000000" w:themeColor="text1"/>
          <w:sz w:val="24"/>
          <w:szCs w:val="24"/>
          <w:lang w:eastAsia="fr-FR"/>
        </w:rPr>
        <w:t xml:space="preserve"> contenues dans la directive territorial d’aménagement (ci-après, « DTA ») des Alpes-Maritimes</w:t>
      </w:r>
      <w:r w:rsidR="0063770C">
        <w:rPr>
          <w:rFonts w:ascii="Times New Roman" w:eastAsia="Times New Roman" w:hAnsi="Times New Roman" w:cs="Times New Roman"/>
          <w:color w:val="000000" w:themeColor="text1"/>
          <w:sz w:val="24"/>
          <w:szCs w:val="24"/>
          <w:lang w:eastAsia="fr-FR"/>
        </w:rPr>
        <w:t xml:space="preserve">, </w:t>
      </w:r>
      <w:r w:rsidR="0063770C" w:rsidRPr="0063770C">
        <w:rPr>
          <w:rFonts w:ascii="Times New Roman" w:eastAsia="Times New Roman" w:hAnsi="Times New Roman" w:cs="Times New Roman"/>
          <w:color w:val="000000" w:themeColor="text1"/>
          <w:sz w:val="24"/>
          <w:szCs w:val="24"/>
          <w:lang w:eastAsia="fr-FR"/>
        </w:rPr>
        <w:t>approuvée par le décret du 2 décembre 2003</w:t>
      </w:r>
      <w:r w:rsidR="0063770C">
        <w:rPr>
          <w:rFonts w:ascii="Times New Roman" w:eastAsia="Times New Roman" w:hAnsi="Times New Roman" w:cs="Times New Roman"/>
          <w:color w:val="000000" w:themeColor="text1"/>
          <w:sz w:val="24"/>
          <w:szCs w:val="24"/>
          <w:lang w:eastAsia="fr-FR"/>
        </w:rPr>
        <w:t xml:space="preserve"> susvisé. </w:t>
      </w:r>
    </w:p>
    <w:p w14:paraId="6D2FFCD8" w14:textId="77777777" w:rsidR="00376DC8" w:rsidRDefault="00376DC8" w:rsidP="00376DC8">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3B00BE3B" w14:textId="2972E79C" w:rsidR="00376DC8" w:rsidRDefault="00E41E3A" w:rsidP="00FC6947">
      <w:pPr>
        <w:spacing w:after="0" w:line="240" w:lineRule="auto"/>
        <w:ind w:firstLine="851"/>
        <w:jc w:val="both"/>
        <w:rPr>
          <w:rFonts w:ascii="Times New Roman" w:hAnsi="Times New Roman"/>
          <w:sz w:val="24"/>
          <w:szCs w:val="24"/>
        </w:rPr>
      </w:pPr>
      <w:r>
        <w:rPr>
          <w:rFonts w:ascii="Times New Roman" w:eastAsia="Times New Roman" w:hAnsi="Times New Roman" w:cs="Times New Roman"/>
          <w:color w:val="000000" w:themeColor="text1"/>
          <w:sz w:val="24"/>
          <w:szCs w:val="24"/>
          <w:lang w:eastAsia="fr-FR"/>
        </w:rPr>
        <w:t>63</w:t>
      </w:r>
      <w:r w:rsidR="00376DC8">
        <w:rPr>
          <w:rFonts w:ascii="Times New Roman" w:eastAsia="Times New Roman" w:hAnsi="Times New Roman" w:cs="Times New Roman"/>
          <w:color w:val="000000" w:themeColor="text1"/>
          <w:sz w:val="24"/>
          <w:szCs w:val="24"/>
          <w:lang w:eastAsia="fr-FR"/>
        </w:rPr>
        <w:t xml:space="preserve">. </w:t>
      </w:r>
      <w:r w:rsidR="00FC6947">
        <w:rPr>
          <w:rFonts w:ascii="Times New Roman" w:eastAsia="Times New Roman" w:hAnsi="Times New Roman" w:cs="Times New Roman"/>
          <w:color w:val="000000" w:themeColor="text1"/>
          <w:sz w:val="24"/>
          <w:szCs w:val="24"/>
          <w:lang w:eastAsia="fr-FR"/>
        </w:rPr>
        <w:t>D’une part, a</w:t>
      </w:r>
      <w:r w:rsidR="00376DC8" w:rsidRPr="00194268">
        <w:rPr>
          <w:rFonts w:ascii="Times New Roman" w:hAnsi="Times New Roman"/>
          <w:sz w:val="24"/>
          <w:szCs w:val="24"/>
        </w:rPr>
        <w:t xml:space="preserve">ux termes de l’article L. 172‑1 du code de l’urbanisme : « </w:t>
      </w:r>
      <w:r w:rsidR="00376DC8" w:rsidRPr="00194268">
        <w:rPr>
          <w:rFonts w:ascii="Times New Roman" w:hAnsi="Times New Roman"/>
          <w:i/>
          <w:sz w:val="24"/>
          <w:szCs w:val="24"/>
        </w:rPr>
        <w:t>Les directives territoriales d’aménagement approuvées avant le 13 juillet 2010 restent en vigueur. / Elles sont soumises aux dispositions des articles L. 172‑2 à L. 172‑5 ». Aux termes de l’article L. 172-2 de ce même code : « Les dispositions des directives territoriales d'aménagement qui précisent les modalités d'application des dispositions particulières au littoral et aux zones de montagne prévues aux chapitres Ier et II du titre II du présent livre s'appliquent aux personnes et opérations qui y sont mentionnées</w:t>
      </w:r>
      <w:r w:rsidR="00376DC8" w:rsidRPr="00194268">
        <w:rPr>
          <w:rFonts w:ascii="Times New Roman" w:hAnsi="Times New Roman"/>
          <w:sz w:val="24"/>
          <w:szCs w:val="24"/>
        </w:rPr>
        <w:t xml:space="preserve"> ».  Aux termes de l’article L. 122‑2 </w:t>
      </w:r>
      <w:r w:rsidR="00FC6947">
        <w:rPr>
          <w:rFonts w:ascii="Times New Roman" w:hAnsi="Times New Roman"/>
          <w:sz w:val="24"/>
          <w:szCs w:val="24"/>
        </w:rPr>
        <w:t>de ce même code</w:t>
      </w:r>
      <w:r w:rsidR="00376DC8" w:rsidRPr="00194268">
        <w:rPr>
          <w:rFonts w:ascii="Times New Roman" w:hAnsi="Times New Roman"/>
          <w:sz w:val="24"/>
          <w:szCs w:val="24"/>
        </w:rPr>
        <w:t> : « </w:t>
      </w:r>
      <w:r w:rsidR="00376DC8" w:rsidRPr="00194268">
        <w:rPr>
          <w:rFonts w:ascii="Times New Roman" w:hAnsi="Times New Roman"/>
          <w:i/>
          <w:sz w:val="24"/>
          <w:szCs w:val="24"/>
        </w:rPr>
        <w:t>Les dispositions du présent chapitre sont applicables à toute personne publique ou privée pour l'exécution de tous travaux, constructions, défrichements, plantations, aménagements, installations et travaux divers, la création de lotissements, l'ouverture de terrains de camping ou de stationnement de caravanes, l'établissement de clôtures, la réalisation de remontées mécaniques et l'aménagement de pistes, l'ouverture des carrières, la recherche et l'exploitation des minerais et les installations classées pour la protection de l'environnement</w:t>
      </w:r>
      <w:r w:rsidR="00376DC8" w:rsidRPr="00194268">
        <w:rPr>
          <w:rFonts w:ascii="Times New Roman" w:hAnsi="Times New Roman"/>
          <w:sz w:val="24"/>
          <w:szCs w:val="24"/>
        </w:rPr>
        <w:t> ».</w:t>
      </w:r>
      <w:r w:rsidR="004B41C2">
        <w:rPr>
          <w:rFonts w:ascii="Times New Roman" w:hAnsi="Times New Roman"/>
          <w:sz w:val="24"/>
          <w:szCs w:val="24"/>
        </w:rPr>
        <w:t xml:space="preserve"> A</w:t>
      </w:r>
      <w:r w:rsidR="00376DC8">
        <w:rPr>
          <w:rFonts w:ascii="Times New Roman" w:hAnsi="Times New Roman"/>
          <w:sz w:val="24"/>
          <w:szCs w:val="24"/>
        </w:rPr>
        <w:t xml:space="preserve">ux termes de l’article L. 131-1 du </w:t>
      </w:r>
      <w:r w:rsidR="00FC6947">
        <w:rPr>
          <w:rFonts w:ascii="Times New Roman" w:hAnsi="Times New Roman"/>
          <w:sz w:val="24"/>
          <w:szCs w:val="24"/>
        </w:rPr>
        <w:t>même code</w:t>
      </w:r>
      <w:r w:rsidR="00376DC8">
        <w:rPr>
          <w:rFonts w:ascii="Times New Roman" w:hAnsi="Times New Roman"/>
          <w:sz w:val="24"/>
          <w:szCs w:val="24"/>
        </w:rPr>
        <w:t> : « </w:t>
      </w:r>
      <w:r w:rsidR="00376DC8" w:rsidRPr="00FC6947">
        <w:rPr>
          <w:rFonts w:ascii="Times New Roman" w:hAnsi="Times New Roman"/>
          <w:i/>
          <w:sz w:val="24"/>
          <w:szCs w:val="24"/>
        </w:rPr>
        <w:t>Les schémas de cohérence territoriale prévus à l'article L. 141-1 sont compatibles avec : / 1° Les dispositions particulières au littoral et aux zones de montagne prévues aux chapitres Ier et II du titre II ; / (…)</w:t>
      </w:r>
      <w:r w:rsidR="00376DC8">
        <w:rPr>
          <w:rFonts w:ascii="Times New Roman" w:hAnsi="Times New Roman"/>
          <w:sz w:val="24"/>
          <w:szCs w:val="24"/>
        </w:rPr>
        <w:t xml:space="preserve"> ». Aux termes de l’article </w:t>
      </w:r>
      <w:r w:rsidR="00FC6947">
        <w:rPr>
          <w:rFonts w:ascii="Times New Roman" w:hAnsi="Times New Roman"/>
          <w:sz w:val="24"/>
          <w:szCs w:val="24"/>
        </w:rPr>
        <w:t>L. 131-4 de ce même code : « </w:t>
      </w:r>
      <w:r w:rsidR="00FC6947" w:rsidRPr="00FC6947">
        <w:rPr>
          <w:rFonts w:ascii="Times New Roman" w:hAnsi="Times New Roman"/>
          <w:i/>
          <w:sz w:val="24"/>
          <w:szCs w:val="24"/>
        </w:rPr>
        <w:t>Les plans locaux d'urbanisme et les documents en tenant lieu ainsi que les cartes communales sont compatibles avec : / 1° Les schémas de cohérence territoriale prévus à l'article L. 141-1 ; / (…) ». Aux termes de l’article L. 131-6 du même code : « En l'absence de schéma de cohérence territoriale, les plans locaux d'urbanisme, les documents en tenant lieu et les cartes communales sont compatibles avec les dispositions mentionnées au 1° (…) de l'article L. 131-1. / (…)</w:t>
      </w:r>
      <w:r w:rsidR="00FC6947">
        <w:rPr>
          <w:rFonts w:ascii="Times New Roman" w:hAnsi="Times New Roman"/>
          <w:sz w:val="24"/>
          <w:szCs w:val="24"/>
        </w:rPr>
        <w:t xml:space="preserve"> ». </w:t>
      </w:r>
    </w:p>
    <w:p w14:paraId="30525FB9" w14:textId="7DC0C3D7" w:rsidR="00FC6947" w:rsidRDefault="00FC6947" w:rsidP="00FC6947">
      <w:pPr>
        <w:spacing w:after="0" w:line="240" w:lineRule="auto"/>
        <w:ind w:firstLine="851"/>
        <w:jc w:val="both"/>
        <w:rPr>
          <w:rFonts w:ascii="Times New Roman" w:hAnsi="Times New Roman"/>
          <w:sz w:val="24"/>
          <w:szCs w:val="24"/>
        </w:rPr>
      </w:pPr>
    </w:p>
    <w:p w14:paraId="5ABD74AF" w14:textId="3B2F9AB9" w:rsidR="00FC6947" w:rsidRDefault="00E41E3A" w:rsidP="0063770C">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hAnsi="Times New Roman"/>
          <w:sz w:val="24"/>
          <w:szCs w:val="24"/>
        </w:rPr>
        <w:t>64</w:t>
      </w:r>
      <w:r w:rsidR="00FC6947">
        <w:rPr>
          <w:rFonts w:ascii="Times New Roman" w:hAnsi="Times New Roman"/>
          <w:sz w:val="24"/>
          <w:szCs w:val="24"/>
        </w:rPr>
        <w:t xml:space="preserve">. D’autre part, aux termes du point III-132-3 de la DTA des Alpes-Maritimes relatif aux orientations pour l’aménagement du territoire de la frange sud de la zone de montagne : « </w:t>
      </w:r>
      <w:r w:rsidR="00FC6947" w:rsidRPr="00FC6947">
        <w:rPr>
          <w:rFonts w:ascii="Times New Roman" w:hAnsi="Times New Roman"/>
          <w:i/>
          <w:sz w:val="24"/>
          <w:szCs w:val="24"/>
        </w:rPr>
        <w:t xml:space="preserve">(…) Les espaces naturels qui définissent la limite des secteurs urbanisés, ou susceptibles d'être urbanisés, représentent plus de 80 % de la superficie de cette Frange sud. Ils comprennent les principaux espaces, paysages et milieux naturels remarquables ou caractéristiques du patrimoine de ce secteur, le grand cadre paysager de l’agglomération et les principales terres nécessaires au maintien des activités agricoles, pastorales et forestières. / (…) Dans ces espaces naturels, en dehors des espaces, paysages et milieux les plus remarquables au titre de la "loi montagne" pour lesquels sont précisées les modalités d’application de la "loi montagne" (cf. III-132-4-1 ci-dessous), les terres nécessaires au maintien et au développement des activités agricoles, pastorales et forestières sont préservées selon les dispositions de l’article L 145-3-I du code de l’urbanisme. Par ailleurs, sont admis dans ces espaces : le confortement des hameaux, des groupes de constructions traditionnelles ou d'habitations existants, l'adaptation, la réfection ou l’extension limitée des constructions existantes, des aménagements touristiques compatibles avec la vocation naturelle de ces espaces, ainsi que la réalisation d'infrastructures </w:t>
      </w:r>
      <w:r w:rsidR="00FC6947" w:rsidRPr="00FC6947">
        <w:rPr>
          <w:rFonts w:ascii="Times New Roman" w:hAnsi="Times New Roman"/>
          <w:i/>
          <w:sz w:val="24"/>
          <w:szCs w:val="24"/>
        </w:rPr>
        <w:lastRenderedPageBreak/>
        <w:t>et d'équipements publics d'intérêt général, dans le respect de la qualité environnementale de ces espaces. / (…)</w:t>
      </w:r>
      <w:r w:rsidR="00FC6947">
        <w:rPr>
          <w:rFonts w:ascii="Times New Roman" w:hAnsi="Times New Roman"/>
          <w:sz w:val="24"/>
          <w:szCs w:val="24"/>
        </w:rPr>
        <w:t> ». En outre, aux termes du point III-132-4-2 relatif aux espaces agricoles</w:t>
      </w:r>
      <w:r w:rsidR="0063770C">
        <w:rPr>
          <w:rFonts w:ascii="Times New Roman" w:hAnsi="Times New Roman"/>
          <w:sz w:val="24"/>
          <w:szCs w:val="24"/>
        </w:rPr>
        <w:t xml:space="preserve"> et pastoraux à préserver à savoir ceux « </w:t>
      </w:r>
      <w:r w:rsidR="00FC6947" w:rsidRPr="0063770C">
        <w:rPr>
          <w:rFonts w:ascii="Times New Roman" w:eastAsia="Times New Roman" w:hAnsi="Times New Roman" w:cs="Times New Roman"/>
          <w:i/>
          <w:color w:val="000000" w:themeColor="text1"/>
          <w:sz w:val="24"/>
          <w:szCs w:val="24"/>
          <w:lang w:eastAsia="fr-FR"/>
        </w:rPr>
        <w:t>qui sont actuellement utilisé</w:t>
      </w:r>
      <w:r w:rsidR="0063770C" w:rsidRPr="0063770C">
        <w:rPr>
          <w:rFonts w:ascii="Times New Roman" w:eastAsia="Times New Roman" w:hAnsi="Times New Roman" w:cs="Times New Roman"/>
          <w:i/>
          <w:color w:val="000000" w:themeColor="text1"/>
          <w:sz w:val="24"/>
          <w:szCs w:val="24"/>
          <w:lang w:eastAsia="fr-FR"/>
        </w:rPr>
        <w:t>[</w:t>
      </w:r>
      <w:r w:rsidR="00FC6947" w:rsidRPr="0063770C">
        <w:rPr>
          <w:rFonts w:ascii="Times New Roman" w:eastAsia="Times New Roman" w:hAnsi="Times New Roman" w:cs="Times New Roman"/>
          <w:i/>
          <w:color w:val="000000" w:themeColor="text1"/>
          <w:sz w:val="24"/>
          <w:szCs w:val="24"/>
          <w:lang w:eastAsia="fr-FR"/>
        </w:rPr>
        <w:t>e</w:t>
      </w:r>
      <w:r w:rsidR="0063770C" w:rsidRPr="0063770C">
        <w:rPr>
          <w:rFonts w:ascii="Times New Roman" w:eastAsia="Times New Roman" w:hAnsi="Times New Roman" w:cs="Times New Roman"/>
          <w:i/>
          <w:color w:val="000000" w:themeColor="text1"/>
          <w:sz w:val="24"/>
          <w:szCs w:val="24"/>
          <w:lang w:eastAsia="fr-FR"/>
        </w:rPr>
        <w:t>]</w:t>
      </w:r>
      <w:r w:rsidR="00FC6947" w:rsidRPr="0063770C">
        <w:rPr>
          <w:rFonts w:ascii="Times New Roman" w:eastAsia="Times New Roman" w:hAnsi="Times New Roman" w:cs="Times New Roman"/>
          <w:i/>
          <w:color w:val="000000" w:themeColor="text1"/>
          <w:sz w:val="24"/>
          <w:szCs w:val="24"/>
          <w:lang w:eastAsia="fr-FR"/>
        </w:rPr>
        <w:t>s et nécessaires au fonctionnement des</w:t>
      </w:r>
      <w:r w:rsidR="0063770C" w:rsidRPr="0063770C">
        <w:rPr>
          <w:rFonts w:ascii="Times New Roman" w:hAnsi="Times New Roman"/>
          <w:i/>
          <w:sz w:val="24"/>
          <w:szCs w:val="24"/>
        </w:rPr>
        <w:t xml:space="preserve"> </w:t>
      </w:r>
      <w:r w:rsidR="00FC6947" w:rsidRPr="0063770C">
        <w:rPr>
          <w:rFonts w:ascii="Times New Roman" w:eastAsia="Times New Roman" w:hAnsi="Times New Roman" w:cs="Times New Roman"/>
          <w:i/>
          <w:color w:val="000000" w:themeColor="text1"/>
          <w:sz w:val="24"/>
          <w:szCs w:val="24"/>
          <w:lang w:eastAsia="fr-FR"/>
        </w:rPr>
        <w:t>systèmes d’exploitation locaux : cultures oléicoles, horticoles, élevage extensif</w:t>
      </w:r>
      <w:r w:rsidR="0063770C" w:rsidRPr="0063770C">
        <w:rPr>
          <w:rFonts w:ascii="Times New Roman" w:eastAsia="Times New Roman" w:hAnsi="Times New Roman" w:cs="Times New Roman"/>
          <w:i/>
          <w:color w:val="000000" w:themeColor="text1"/>
          <w:sz w:val="24"/>
          <w:szCs w:val="24"/>
          <w:lang w:eastAsia="fr-FR"/>
        </w:rPr>
        <w:t> (…)</w:t>
      </w:r>
      <w:r w:rsidR="0063770C">
        <w:rPr>
          <w:rFonts w:ascii="Times New Roman" w:eastAsia="Times New Roman" w:hAnsi="Times New Roman" w:cs="Times New Roman"/>
          <w:color w:val="000000" w:themeColor="text1"/>
          <w:sz w:val="24"/>
          <w:szCs w:val="24"/>
          <w:lang w:eastAsia="fr-FR"/>
        </w:rPr>
        <w:t> » : « </w:t>
      </w:r>
      <w:r w:rsidR="0063770C" w:rsidRPr="0063770C">
        <w:rPr>
          <w:rFonts w:ascii="Times New Roman" w:eastAsia="Times New Roman" w:hAnsi="Times New Roman" w:cs="Times New Roman"/>
          <w:i/>
          <w:color w:val="000000" w:themeColor="text1"/>
          <w:sz w:val="24"/>
          <w:szCs w:val="24"/>
          <w:lang w:eastAsia="fr-FR"/>
        </w:rPr>
        <w:t>Ne peuvent y être admises que les constructions liées et nécessaires aux exploitations agricoles, oléicoles et pastorales mettant en valeur au moins une unité de référence au sens de l’article L 312-5 du code rural</w:t>
      </w:r>
      <w:r w:rsidR="0063770C">
        <w:rPr>
          <w:rFonts w:ascii="Times New Roman" w:eastAsia="Times New Roman" w:hAnsi="Times New Roman" w:cs="Times New Roman"/>
          <w:color w:val="000000" w:themeColor="text1"/>
          <w:sz w:val="24"/>
          <w:szCs w:val="24"/>
          <w:lang w:eastAsia="fr-FR"/>
        </w:rPr>
        <w:t xml:space="preserve"> ». </w:t>
      </w:r>
    </w:p>
    <w:p w14:paraId="4067A3CA" w14:textId="0CAD4DF5" w:rsidR="0063770C" w:rsidRDefault="0063770C" w:rsidP="0063770C">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2C0D2ADA" w14:textId="7E01864C" w:rsidR="004B41C2" w:rsidRDefault="00E41E3A" w:rsidP="004B41C2">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65</w:t>
      </w:r>
      <w:r w:rsidR="0063770C">
        <w:rPr>
          <w:rFonts w:ascii="Times New Roman" w:eastAsia="Times New Roman" w:hAnsi="Times New Roman" w:cs="Times New Roman"/>
          <w:color w:val="000000" w:themeColor="text1"/>
          <w:sz w:val="24"/>
          <w:szCs w:val="24"/>
          <w:lang w:eastAsia="fr-FR"/>
        </w:rPr>
        <w:t xml:space="preserve">. </w:t>
      </w:r>
      <w:r w:rsidR="004B41C2">
        <w:rPr>
          <w:rFonts w:ascii="Times New Roman" w:eastAsia="Times New Roman" w:hAnsi="Times New Roman" w:cs="Times New Roman"/>
          <w:color w:val="000000" w:themeColor="text1"/>
          <w:sz w:val="24"/>
          <w:szCs w:val="24"/>
          <w:lang w:eastAsia="fr-FR"/>
        </w:rPr>
        <w:t>Enfin, a</w:t>
      </w:r>
      <w:r w:rsidR="004B41C2" w:rsidRPr="004B41C2">
        <w:rPr>
          <w:rFonts w:ascii="Times New Roman" w:eastAsia="Times New Roman" w:hAnsi="Times New Roman" w:cs="Times New Roman"/>
          <w:color w:val="000000" w:themeColor="text1"/>
          <w:sz w:val="24"/>
          <w:szCs w:val="24"/>
          <w:lang w:eastAsia="fr-FR"/>
        </w:rPr>
        <w:t xml:space="preserve">ux termes de l’article L. 600-12 du code de l’urbanisme : « </w:t>
      </w:r>
      <w:r w:rsidR="004B41C2" w:rsidRPr="004B41C2">
        <w:rPr>
          <w:rFonts w:ascii="Times New Roman" w:eastAsia="Times New Roman" w:hAnsi="Times New Roman" w:cs="Times New Roman"/>
          <w:i/>
          <w:color w:val="000000" w:themeColor="text1"/>
          <w:sz w:val="24"/>
          <w:szCs w:val="24"/>
          <w:lang w:eastAsia="fr-FR"/>
        </w:rPr>
        <w:t>Sous réserve de l'application des articles L. 600-12-1 et L. 442-14, l'annulation ou la déclaration d'illégalité d'un schéma de cohérence territoriale, d'un plan local d'urbanisme, d'un document d'urbanisme en tenant lieu ou d'une carte communale a pour effet de remettre en vigueur le schéma de cohérence territoriale, le plan local d'urbanisme, le document d'urbanisme en tenant lieu ou la carte co</w:t>
      </w:r>
      <w:r w:rsidR="004B41C2">
        <w:rPr>
          <w:rFonts w:ascii="Times New Roman" w:eastAsia="Times New Roman" w:hAnsi="Times New Roman" w:cs="Times New Roman"/>
          <w:i/>
          <w:color w:val="000000" w:themeColor="text1"/>
          <w:sz w:val="24"/>
          <w:szCs w:val="24"/>
          <w:lang w:eastAsia="fr-FR"/>
        </w:rPr>
        <w:t xml:space="preserve">mmunale immédiatement antérieur </w:t>
      </w:r>
      <w:r w:rsidR="004B41C2" w:rsidRPr="004B41C2">
        <w:rPr>
          <w:rFonts w:ascii="Times New Roman" w:eastAsia="Times New Roman" w:hAnsi="Times New Roman" w:cs="Times New Roman"/>
          <w:color w:val="000000" w:themeColor="text1"/>
          <w:sz w:val="24"/>
          <w:szCs w:val="24"/>
          <w:lang w:eastAsia="fr-FR"/>
        </w:rPr>
        <w:t>». Un requérant demandant l'annulation d’une autorisation de construire ne saurait utilement se borner à soutenir qu'il a été délivré sous l'empire d'un document d'urbanisme illégal, quelle que soit la nature de l'illégalité dont il se prévaut. Dès lors, il peut être utilement soutenu devant le juge qu'une autorisation de construire a été délivrée sous l'empire d'un document d'urbanisme illégal - sous réserve, en ce qui concerne les vices de forme ou de procédure, des dispositions de l'article L. 600-1 du même code -, à la condition que le requérant fasse en outre valoir que ce permis méconnaît les dispositions pertinentes ainsi remises en vigueur.</w:t>
      </w:r>
    </w:p>
    <w:p w14:paraId="608A08CF" w14:textId="16FC47AC" w:rsidR="004B41C2" w:rsidRDefault="004B41C2" w:rsidP="004B41C2">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6AFA0A99" w14:textId="2EBDEDB2" w:rsidR="004370E9" w:rsidRDefault="00E41E3A" w:rsidP="004370E9">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66</w:t>
      </w:r>
      <w:r w:rsidR="004B41C2">
        <w:rPr>
          <w:rFonts w:ascii="Times New Roman" w:eastAsia="Times New Roman" w:hAnsi="Times New Roman" w:cs="Times New Roman"/>
          <w:color w:val="000000" w:themeColor="text1"/>
          <w:sz w:val="24"/>
          <w:szCs w:val="24"/>
          <w:lang w:eastAsia="fr-FR"/>
        </w:rPr>
        <w:t xml:space="preserve">. En l’espèce, </w:t>
      </w:r>
      <w:r w:rsidR="0063770C">
        <w:rPr>
          <w:rFonts w:ascii="Times New Roman" w:eastAsia="Times New Roman" w:hAnsi="Times New Roman" w:cs="Times New Roman"/>
          <w:color w:val="000000" w:themeColor="text1"/>
          <w:sz w:val="24"/>
          <w:szCs w:val="24"/>
          <w:lang w:eastAsia="fr-FR"/>
        </w:rPr>
        <w:t xml:space="preserve">il est constant que </w:t>
      </w:r>
      <w:r w:rsidR="0063770C" w:rsidRPr="0063770C">
        <w:rPr>
          <w:rFonts w:ascii="Times New Roman" w:eastAsia="Times New Roman" w:hAnsi="Times New Roman" w:cs="Times New Roman"/>
          <w:color w:val="000000" w:themeColor="text1"/>
          <w:sz w:val="24"/>
          <w:szCs w:val="24"/>
          <w:lang w:eastAsia="fr-FR"/>
        </w:rPr>
        <w:t xml:space="preserve">la commune </w:t>
      </w:r>
      <w:r w:rsidR="004A2B8D">
        <w:rPr>
          <w:rFonts w:ascii="Times New Roman" w:eastAsia="Times New Roman" w:hAnsi="Times New Roman" w:cs="Times New Roman"/>
          <w:color w:val="000000" w:themeColor="text1"/>
          <w:sz w:val="24"/>
          <w:szCs w:val="24"/>
          <w:lang w:eastAsia="fr-FR"/>
        </w:rPr>
        <w:t xml:space="preserve">de </w:t>
      </w:r>
      <w:r w:rsidR="0063770C" w:rsidRPr="0063770C">
        <w:rPr>
          <w:rFonts w:ascii="Times New Roman" w:eastAsia="Times New Roman" w:hAnsi="Times New Roman" w:cs="Times New Roman"/>
          <w:color w:val="000000" w:themeColor="text1"/>
          <w:sz w:val="24"/>
          <w:szCs w:val="24"/>
          <w:lang w:eastAsia="fr-FR"/>
        </w:rPr>
        <w:t xml:space="preserve">Levens est localisée en zone de montagne en vertu de l’arrêté du 28 avril 1976 portant classement de communes et parties </w:t>
      </w:r>
      <w:r w:rsidR="0063770C">
        <w:rPr>
          <w:rFonts w:ascii="Times New Roman" w:eastAsia="Times New Roman" w:hAnsi="Times New Roman" w:cs="Times New Roman"/>
          <w:color w:val="000000" w:themeColor="text1"/>
          <w:sz w:val="24"/>
          <w:szCs w:val="24"/>
          <w:lang w:eastAsia="fr-FR"/>
        </w:rPr>
        <w:t>de communes en zone de montagne et que l</w:t>
      </w:r>
      <w:r w:rsidR="0063770C" w:rsidRPr="0063770C">
        <w:rPr>
          <w:rFonts w:ascii="Times New Roman" w:eastAsia="Times New Roman" w:hAnsi="Times New Roman" w:cs="Times New Roman"/>
          <w:color w:val="000000" w:themeColor="text1"/>
          <w:sz w:val="24"/>
          <w:szCs w:val="24"/>
          <w:lang w:eastAsia="fr-FR"/>
        </w:rPr>
        <w:t>a</w:t>
      </w:r>
      <w:r w:rsidR="0063770C">
        <w:rPr>
          <w:rFonts w:ascii="Times New Roman" w:eastAsia="Times New Roman" w:hAnsi="Times New Roman" w:cs="Times New Roman"/>
          <w:color w:val="000000" w:themeColor="text1"/>
          <w:sz w:val="24"/>
          <w:szCs w:val="24"/>
          <w:lang w:eastAsia="fr-FR"/>
        </w:rPr>
        <w:t xml:space="preserve"> DTA </w:t>
      </w:r>
      <w:r w:rsidR="0063770C" w:rsidRPr="0063770C">
        <w:rPr>
          <w:rFonts w:ascii="Times New Roman" w:eastAsia="Times New Roman" w:hAnsi="Times New Roman" w:cs="Times New Roman"/>
          <w:color w:val="000000" w:themeColor="text1"/>
          <w:sz w:val="24"/>
          <w:szCs w:val="24"/>
          <w:lang w:eastAsia="fr-FR"/>
        </w:rPr>
        <w:t xml:space="preserve">des Alpes-Maritimes </w:t>
      </w:r>
      <w:r w:rsidR="0063770C">
        <w:rPr>
          <w:rFonts w:ascii="Times New Roman" w:eastAsia="Times New Roman" w:hAnsi="Times New Roman" w:cs="Times New Roman"/>
          <w:color w:val="000000" w:themeColor="text1"/>
          <w:sz w:val="24"/>
          <w:szCs w:val="24"/>
          <w:lang w:eastAsia="fr-FR"/>
        </w:rPr>
        <w:t xml:space="preserve">la </w:t>
      </w:r>
      <w:r w:rsidR="0063770C" w:rsidRPr="0063770C">
        <w:rPr>
          <w:rFonts w:ascii="Times New Roman" w:eastAsia="Times New Roman" w:hAnsi="Times New Roman" w:cs="Times New Roman"/>
          <w:color w:val="000000" w:themeColor="text1"/>
          <w:sz w:val="24"/>
          <w:szCs w:val="24"/>
          <w:lang w:eastAsia="fr-FR"/>
        </w:rPr>
        <w:t>situe au sein de la frange sud de la zone Montagne.</w:t>
      </w:r>
      <w:r w:rsidR="004B41C2">
        <w:rPr>
          <w:rFonts w:ascii="Times New Roman" w:eastAsia="Times New Roman" w:hAnsi="Times New Roman" w:cs="Times New Roman"/>
          <w:color w:val="000000" w:themeColor="text1"/>
          <w:sz w:val="24"/>
          <w:szCs w:val="24"/>
          <w:lang w:eastAsia="fr-FR"/>
        </w:rPr>
        <w:t xml:space="preserve"> </w:t>
      </w:r>
      <w:r w:rsidR="000229E3">
        <w:rPr>
          <w:rFonts w:ascii="Times New Roman" w:eastAsia="Times New Roman" w:hAnsi="Times New Roman" w:cs="Times New Roman"/>
          <w:color w:val="000000" w:themeColor="text1"/>
          <w:sz w:val="24"/>
          <w:szCs w:val="24"/>
          <w:lang w:eastAsia="fr-FR"/>
        </w:rPr>
        <w:t>L’association requérante soutient</w:t>
      </w:r>
      <w:r w:rsidR="004B41C2">
        <w:rPr>
          <w:rFonts w:ascii="Times New Roman" w:eastAsia="Times New Roman" w:hAnsi="Times New Roman" w:cs="Times New Roman"/>
          <w:color w:val="000000" w:themeColor="text1"/>
          <w:sz w:val="24"/>
          <w:szCs w:val="24"/>
          <w:lang w:eastAsia="fr-FR"/>
        </w:rPr>
        <w:t xml:space="preserve"> alors le </w:t>
      </w:r>
      <w:r w:rsidR="000229E3">
        <w:rPr>
          <w:rFonts w:ascii="Times New Roman" w:eastAsia="Times New Roman" w:hAnsi="Times New Roman" w:cs="Times New Roman"/>
          <w:color w:val="000000" w:themeColor="text1"/>
          <w:sz w:val="24"/>
          <w:szCs w:val="24"/>
          <w:lang w:eastAsia="fr-FR"/>
        </w:rPr>
        <w:t xml:space="preserve">règlement du </w:t>
      </w:r>
      <w:proofErr w:type="spellStart"/>
      <w:r w:rsidR="004B41C2">
        <w:rPr>
          <w:rFonts w:ascii="Times New Roman" w:eastAsia="Times New Roman" w:hAnsi="Times New Roman" w:cs="Times New Roman"/>
          <w:color w:val="000000" w:themeColor="text1"/>
          <w:sz w:val="24"/>
          <w:szCs w:val="24"/>
          <w:lang w:eastAsia="fr-FR"/>
        </w:rPr>
        <w:t>PLUm</w:t>
      </w:r>
      <w:proofErr w:type="spellEnd"/>
      <w:r w:rsidR="004B41C2">
        <w:rPr>
          <w:rFonts w:ascii="Times New Roman" w:eastAsia="Times New Roman" w:hAnsi="Times New Roman" w:cs="Times New Roman"/>
          <w:color w:val="000000" w:themeColor="text1"/>
          <w:sz w:val="24"/>
          <w:szCs w:val="24"/>
          <w:lang w:eastAsia="fr-FR"/>
        </w:rPr>
        <w:t>, dans sa version issue de la délibération du 25 septembre 2023</w:t>
      </w:r>
      <w:r w:rsidR="004370E9">
        <w:rPr>
          <w:rFonts w:ascii="Times New Roman" w:eastAsia="Times New Roman" w:hAnsi="Times New Roman" w:cs="Times New Roman"/>
          <w:color w:val="000000" w:themeColor="text1"/>
          <w:sz w:val="24"/>
          <w:szCs w:val="24"/>
          <w:lang w:eastAsia="fr-FR"/>
        </w:rPr>
        <w:t xml:space="preserve"> laquelle a procédé au déclassement du secteur d’implantation du projet autorisé par le permis de construire attaqué, en zone naturelle au profit de la zone </w:t>
      </w:r>
      <w:r w:rsidR="004370E9" w:rsidRPr="004370E9">
        <w:rPr>
          <w:rFonts w:ascii="Times New Roman" w:eastAsia="Times New Roman" w:hAnsi="Times New Roman" w:cs="Times New Roman"/>
          <w:color w:val="000000" w:themeColor="text1"/>
          <w:sz w:val="24"/>
          <w:szCs w:val="24"/>
          <w:lang w:eastAsia="fr-FR"/>
        </w:rPr>
        <w:t>« 1AUph »</w:t>
      </w:r>
      <w:r w:rsidR="004370E9">
        <w:rPr>
          <w:rFonts w:ascii="Times New Roman" w:eastAsia="Times New Roman" w:hAnsi="Times New Roman" w:cs="Times New Roman"/>
          <w:color w:val="000000" w:themeColor="text1"/>
          <w:sz w:val="24"/>
          <w:szCs w:val="24"/>
          <w:lang w:eastAsia="fr-FR"/>
        </w:rPr>
        <w:t xml:space="preserve"> dite « </w:t>
      </w:r>
      <w:r w:rsidR="004370E9" w:rsidRPr="004370E9">
        <w:rPr>
          <w:rFonts w:ascii="Times New Roman" w:eastAsia="Times New Roman" w:hAnsi="Times New Roman" w:cs="Times New Roman"/>
          <w:color w:val="000000" w:themeColor="text1"/>
          <w:sz w:val="24"/>
          <w:szCs w:val="24"/>
          <w:lang w:eastAsia="fr-FR"/>
        </w:rPr>
        <w:t>zone à urbaniser ouverte</w:t>
      </w:r>
      <w:r w:rsidR="004370E9">
        <w:rPr>
          <w:rFonts w:ascii="Times New Roman" w:eastAsia="Times New Roman" w:hAnsi="Times New Roman" w:cs="Times New Roman"/>
          <w:color w:val="000000" w:themeColor="text1"/>
          <w:sz w:val="24"/>
          <w:szCs w:val="24"/>
          <w:lang w:eastAsia="fr-FR"/>
        </w:rPr>
        <w:t> », est incompatible, dans les conditions définies par les</w:t>
      </w:r>
      <w:r w:rsidR="000229E3">
        <w:rPr>
          <w:rFonts w:ascii="Times New Roman" w:eastAsia="Times New Roman" w:hAnsi="Times New Roman" w:cs="Times New Roman"/>
          <w:color w:val="000000" w:themeColor="text1"/>
          <w:sz w:val="24"/>
          <w:szCs w:val="24"/>
          <w:lang w:eastAsia="fr-FR"/>
        </w:rPr>
        <w:t xml:space="preserve"> dispositions citées au point 63</w:t>
      </w:r>
      <w:r w:rsidR="004370E9">
        <w:rPr>
          <w:rFonts w:ascii="Times New Roman" w:eastAsia="Times New Roman" w:hAnsi="Times New Roman" w:cs="Times New Roman"/>
          <w:color w:val="000000" w:themeColor="text1"/>
          <w:sz w:val="24"/>
          <w:szCs w:val="24"/>
          <w:lang w:eastAsia="fr-FR"/>
        </w:rPr>
        <w:t xml:space="preserve"> de ce jugement, avec les </w:t>
      </w:r>
      <w:r w:rsidR="004370E9" w:rsidRPr="004370E9">
        <w:rPr>
          <w:rFonts w:ascii="Times New Roman" w:eastAsia="Times New Roman" w:hAnsi="Times New Roman" w:cs="Times New Roman"/>
          <w:color w:val="000000" w:themeColor="text1"/>
          <w:sz w:val="24"/>
          <w:szCs w:val="24"/>
          <w:lang w:eastAsia="fr-FR"/>
        </w:rPr>
        <w:t xml:space="preserve">modalités d’application des dispositions particulières relatives aux zones de montagne contenues dans </w:t>
      </w:r>
      <w:r w:rsidR="004370E9">
        <w:rPr>
          <w:rFonts w:ascii="Times New Roman" w:eastAsia="Times New Roman" w:hAnsi="Times New Roman" w:cs="Times New Roman"/>
          <w:color w:val="000000" w:themeColor="text1"/>
          <w:sz w:val="24"/>
          <w:szCs w:val="24"/>
          <w:lang w:eastAsia="fr-FR"/>
        </w:rPr>
        <w:t>la DTA</w:t>
      </w:r>
      <w:r w:rsidR="004370E9" w:rsidRPr="004370E9">
        <w:rPr>
          <w:rFonts w:ascii="Times New Roman" w:eastAsia="Times New Roman" w:hAnsi="Times New Roman" w:cs="Times New Roman"/>
          <w:color w:val="000000" w:themeColor="text1"/>
          <w:sz w:val="24"/>
          <w:szCs w:val="24"/>
          <w:lang w:eastAsia="fr-FR"/>
        </w:rPr>
        <w:t xml:space="preserve"> des Alpes-Maritimes, </w:t>
      </w:r>
      <w:r w:rsidR="004370E9">
        <w:rPr>
          <w:rFonts w:ascii="Times New Roman" w:eastAsia="Times New Roman" w:hAnsi="Times New Roman" w:cs="Times New Roman"/>
          <w:color w:val="000000" w:themeColor="text1"/>
          <w:sz w:val="24"/>
          <w:szCs w:val="24"/>
          <w:lang w:eastAsia="fr-FR"/>
        </w:rPr>
        <w:t xml:space="preserve">et plus particulièrement au regard de son point </w:t>
      </w:r>
      <w:r w:rsidR="004370E9" w:rsidRPr="004370E9">
        <w:rPr>
          <w:rFonts w:ascii="Times New Roman" w:eastAsia="Times New Roman" w:hAnsi="Times New Roman" w:cs="Times New Roman"/>
          <w:color w:val="000000" w:themeColor="text1"/>
          <w:sz w:val="24"/>
          <w:szCs w:val="24"/>
          <w:lang w:eastAsia="fr-FR"/>
        </w:rPr>
        <w:t>III-132-4-2</w:t>
      </w:r>
      <w:r w:rsidR="004370E9">
        <w:rPr>
          <w:rFonts w:ascii="Times New Roman" w:eastAsia="Times New Roman" w:hAnsi="Times New Roman" w:cs="Times New Roman"/>
          <w:color w:val="000000" w:themeColor="text1"/>
          <w:sz w:val="24"/>
          <w:szCs w:val="24"/>
          <w:lang w:eastAsia="fr-FR"/>
        </w:rPr>
        <w:t xml:space="preserve"> précité. </w:t>
      </w:r>
    </w:p>
    <w:p w14:paraId="76D933E0" w14:textId="0F545CBD" w:rsidR="004B41C2" w:rsidRDefault="004B41C2" w:rsidP="004370E9">
      <w:pPr>
        <w:spacing w:after="0" w:line="240" w:lineRule="auto"/>
        <w:jc w:val="both"/>
        <w:rPr>
          <w:rFonts w:ascii="Times New Roman" w:eastAsia="Times New Roman" w:hAnsi="Times New Roman" w:cs="Times New Roman"/>
          <w:color w:val="000000" w:themeColor="text1"/>
          <w:sz w:val="24"/>
          <w:szCs w:val="24"/>
          <w:lang w:eastAsia="fr-FR"/>
        </w:rPr>
      </w:pPr>
    </w:p>
    <w:p w14:paraId="5DDCDF96" w14:textId="58D573A7" w:rsidR="00FE235D" w:rsidRDefault="00E41E3A" w:rsidP="00FE235D">
      <w:pPr>
        <w:spacing w:after="0" w:line="240" w:lineRule="auto"/>
        <w:ind w:firstLine="851"/>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fr-FR"/>
        </w:rPr>
        <w:t>67</w:t>
      </w:r>
      <w:r w:rsidR="004B41C2">
        <w:rPr>
          <w:rFonts w:ascii="Times New Roman" w:eastAsia="Times New Roman" w:hAnsi="Times New Roman" w:cs="Times New Roman"/>
          <w:color w:val="000000" w:themeColor="text1"/>
          <w:sz w:val="24"/>
          <w:szCs w:val="24"/>
          <w:lang w:eastAsia="fr-FR"/>
        </w:rPr>
        <w:t xml:space="preserve">. </w:t>
      </w:r>
      <w:r w:rsidR="004370E9">
        <w:rPr>
          <w:rFonts w:ascii="Times New Roman" w:eastAsia="Times New Roman" w:hAnsi="Times New Roman" w:cs="Times New Roman"/>
          <w:color w:val="000000" w:themeColor="text1"/>
          <w:sz w:val="24"/>
          <w:szCs w:val="24"/>
          <w:lang w:eastAsia="fr-FR"/>
        </w:rPr>
        <w:t xml:space="preserve">Toutefois, </w:t>
      </w:r>
      <w:r w:rsidR="00E436D7">
        <w:rPr>
          <w:rFonts w:ascii="Times New Roman" w:eastAsia="Times New Roman" w:hAnsi="Times New Roman" w:cs="Times New Roman"/>
          <w:color w:val="000000" w:themeColor="text1"/>
          <w:sz w:val="24"/>
          <w:szCs w:val="24"/>
          <w:lang w:eastAsia="fr-FR"/>
        </w:rPr>
        <w:t xml:space="preserve">et </w:t>
      </w:r>
      <w:r w:rsidR="004370E9">
        <w:rPr>
          <w:rFonts w:ascii="Times New Roman" w:eastAsia="Times New Roman" w:hAnsi="Times New Roman" w:cs="Times New Roman"/>
          <w:color w:val="000000" w:themeColor="text1"/>
          <w:sz w:val="24"/>
          <w:szCs w:val="24"/>
          <w:lang w:eastAsia="fr-FR"/>
        </w:rPr>
        <w:t xml:space="preserve">d’une part, l’association requérante qui se borne à soutenir que </w:t>
      </w:r>
      <w:r w:rsidR="009D2B94">
        <w:rPr>
          <w:rFonts w:ascii="Times New Roman" w:eastAsia="Times New Roman" w:hAnsi="Times New Roman" w:cs="Times New Roman"/>
          <w:color w:val="000000" w:themeColor="text1"/>
          <w:sz w:val="24"/>
          <w:szCs w:val="24"/>
          <w:lang w:eastAsia="fr-FR"/>
        </w:rPr>
        <w:t xml:space="preserve">le classement en zone naturelle issu du règlement du </w:t>
      </w:r>
      <w:proofErr w:type="spellStart"/>
      <w:r w:rsidR="009D2B94">
        <w:rPr>
          <w:rFonts w:ascii="Times New Roman" w:eastAsia="Times New Roman" w:hAnsi="Times New Roman" w:cs="Times New Roman"/>
          <w:color w:val="000000" w:themeColor="text1"/>
          <w:sz w:val="24"/>
          <w:szCs w:val="24"/>
          <w:lang w:eastAsia="fr-FR"/>
        </w:rPr>
        <w:t>PLUm</w:t>
      </w:r>
      <w:proofErr w:type="spellEnd"/>
      <w:r w:rsidR="009D2B94">
        <w:rPr>
          <w:rFonts w:ascii="Times New Roman" w:eastAsia="Times New Roman" w:hAnsi="Times New Roman" w:cs="Times New Roman"/>
          <w:color w:val="000000" w:themeColor="text1"/>
          <w:sz w:val="24"/>
          <w:szCs w:val="24"/>
          <w:lang w:eastAsia="fr-FR"/>
        </w:rPr>
        <w:t xml:space="preserve"> dans sa version antérieure à la délibération litigieuse du </w:t>
      </w:r>
      <w:r w:rsidR="009D2B94" w:rsidRPr="009D2B94">
        <w:rPr>
          <w:rFonts w:ascii="Times New Roman" w:eastAsia="Times New Roman" w:hAnsi="Times New Roman" w:cs="Times New Roman"/>
          <w:color w:val="000000" w:themeColor="text1"/>
          <w:sz w:val="24"/>
          <w:szCs w:val="24"/>
          <w:lang w:eastAsia="fr-FR"/>
        </w:rPr>
        <w:t>25 septembre 2023 était incompatible avec le projet</w:t>
      </w:r>
      <w:r w:rsidR="009D2B94">
        <w:rPr>
          <w:rFonts w:ascii="Times New Roman" w:eastAsia="Times New Roman" w:hAnsi="Times New Roman" w:cs="Times New Roman"/>
          <w:color w:val="000000" w:themeColor="text1"/>
          <w:sz w:val="24"/>
          <w:szCs w:val="24"/>
          <w:lang w:eastAsia="fr-FR"/>
        </w:rPr>
        <w:t xml:space="preserve"> autorisé par le permis de construire attaqué</w:t>
      </w:r>
      <w:r w:rsidR="009D2B94" w:rsidRPr="009D2B94">
        <w:rPr>
          <w:rFonts w:ascii="Times New Roman" w:eastAsia="Times New Roman" w:hAnsi="Times New Roman" w:cs="Times New Roman"/>
          <w:color w:val="000000" w:themeColor="text1"/>
          <w:sz w:val="24"/>
          <w:szCs w:val="24"/>
          <w:lang w:eastAsia="fr-FR"/>
        </w:rPr>
        <w:t xml:space="preserve">, sans apporter aucun autre élément à l’appui de cette allégation tel que </w:t>
      </w:r>
      <w:r w:rsidR="009D2B94">
        <w:rPr>
          <w:rFonts w:ascii="Times New Roman" w:eastAsia="Times New Roman" w:hAnsi="Times New Roman" w:cs="Times New Roman"/>
          <w:color w:val="000000" w:themeColor="text1"/>
          <w:sz w:val="24"/>
          <w:szCs w:val="24"/>
          <w:lang w:eastAsia="fr-FR"/>
        </w:rPr>
        <w:t xml:space="preserve">notamment </w:t>
      </w:r>
      <w:r w:rsidR="009D2B94" w:rsidRPr="009D2B94">
        <w:rPr>
          <w:rFonts w:ascii="Times New Roman" w:eastAsia="Times New Roman" w:hAnsi="Times New Roman" w:cs="Times New Roman"/>
          <w:color w:val="000000" w:themeColor="text1"/>
          <w:sz w:val="24"/>
          <w:szCs w:val="24"/>
          <w:lang w:eastAsia="fr-FR"/>
        </w:rPr>
        <w:t xml:space="preserve">les dispositions </w:t>
      </w:r>
      <w:r w:rsidR="00AB6D1E">
        <w:rPr>
          <w:rFonts w:ascii="Times New Roman" w:eastAsia="Times New Roman" w:hAnsi="Times New Roman" w:cs="Times New Roman"/>
          <w:color w:val="000000" w:themeColor="text1"/>
          <w:sz w:val="24"/>
          <w:szCs w:val="24"/>
          <w:lang w:eastAsia="fr-FR"/>
        </w:rPr>
        <w:t xml:space="preserve">applicables </w:t>
      </w:r>
      <w:r w:rsidR="009D2B94" w:rsidRPr="009D2B94">
        <w:rPr>
          <w:rFonts w:ascii="Times New Roman" w:eastAsia="Times New Roman" w:hAnsi="Times New Roman" w:cs="Times New Roman"/>
          <w:color w:val="000000" w:themeColor="text1"/>
          <w:sz w:val="24"/>
          <w:szCs w:val="24"/>
          <w:lang w:eastAsia="fr-FR"/>
        </w:rPr>
        <w:t>pertinentes du document local d'urbanisme r</w:t>
      </w:r>
      <w:r w:rsidR="009D2B94" w:rsidRPr="009D2B94">
        <w:rPr>
          <w:rFonts w:ascii="Times New Roman" w:hAnsi="Times New Roman" w:cs="Times New Roman"/>
          <w:sz w:val="24"/>
          <w:szCs w:val="24"/>
        </w:rPr>
        <w:t>emises en vigueur</w:t>
      </w:r>
      <w:r w:rsidR="009D2B94">
        <w:rPr>
          <w:rFonts w:ascii="Times New Roman" w:hAnsi="Times New Roman" w:cs="Times New Roman"/>
          <w:sz w:val="24"/>
          <w:szCs w:val="24"/>
        </w:rPr>
        <w:t>, ne peut être regardée comme contestant utilement, par la voie de l’exception</w:t>
      </w:r>
      <w:r w:rsidR="00890C15">
        <w:rPr>
          <w:rFonts w:ascii="Times New Roman" w:hAnsi="Times New Roman" w:cs="Times New Roman"/>
          <w:sz w:val="24"/>
          <w:szCs w:val="24"/>
        </w:rPr>
        <w:t xml:space="preserve"> et au regard du principe mentionné au point 65 du jugement</w:t>
      </w:r>
      <w:r w:rsidR="009D2B94">
        <w:rPr>
          <w:rFonts w:ascii="Times New Roman" w:hAnsi="Times New Roman" w:cs="Times New Roman"/>
          <w:sz w:val="24"/>
          <w:szCs w:val="24"/>
        </w:rPr>
        <w:t xml:space="preserve">, la légalité dudit règlement. </w:t>
      </w:r>
    </w:p>
    <w:p w14:paraId="0335258C" w14:textId="77777777" w:rsidR="00FE235D" w:rsidRDefault="00FE235D" w:rsidP="00FE235D">
      <w:pPr>
        <w:spacing w:after="0" w:line="240" w:lineRule="auto"/>
        <w:ind w:firstLine="851"/>
        <w:jc w:val="both"/>
        <w:rPr>
          <w:rFonts w:ascii="Times New Roman" w:hAnsi="Times New Roman" w:cs="Times New Roman"/>
          <w:sz w:val="24"/>
          <w:szCs w:val="24"/>
        </w:rPr>
      </w:pPr>
    </w:p>
    <w:p w14:paraId="5F8F941A" w14:textId="1A202CDF" w:rsidR="00C55766" w:rsidRDefault="00E41E3A" w:rsidP="00FE235D">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hAnsi="Times New Roman" w:cs="Times New Roman"/>
          <w:sz w:val="24"/>
          <w:szCs w:val="24"/>
        </w:rPr>
        <w:t>68</w:t>
      </w:r>
      <w:r w:rsidR="00FE235D">
        <w:rPr>
          <w:rFonts w:ascii="Times New Roman" w:hAnsi="Times New Roman" w:cs="Times New Roman"/>
          <w:sz w:val="24"/>
          <w:szCs w:val="24"/>
        </w:rPr>
        <w:t xml:space="preserve">. </w:t>
      </w:r>
      <w:r w:rsidR="009D2B94">
        <w:rPr>
          <w:rFonts w:ascii="Times New Roman" w:hAnsi="Times New Roman" w:cs="Times New Roman"/>
          <w:sz w:val="24"/>
          <w:szCs w:val="24"/>
        </w:rPr>
        <w:t xml:space="preserve">D’autre part, et en tout état de cause, </w:t>
      </w:r>
      <w:r w:rsidR="00C55766">
        <w:rPr>
          <w:rFonts w:ascii="Times New Roman" w:hAnsi="Times New Roman" w:cs="Times New Roman"/>
          <w:sz w:val="24"/>
          <w:szCs w:val="24"/>
        </w:rPr>
        <w:t xml:space="preserve">s’il ressort des pièces du dossier que le secteur d’implantation du projet litigieux s’inscrit dans un vaste </w:t>
      </w:r>
      <w:r w:rsidR="00C55766" w:rsidRPr="00C55766">
        <w:rPr>
          <w:rFonts w:ascii="Times New Roman" w:eastAsia="Times New Roman" w:hAnsi="Times New Roman" w:cs="Times New Roman"/>
          <w:color w:val="000000" w:themeColor="text1"/>
          <w:sz w:val="24"/>
          <w:szCs w:val="24"/>
          <w:lang w:eastAsia="fr-FR"/>
        </w:rPr>
        <w:t>ensemble de parcelles culturales contiguës</w:t>
      </w:r>
      <w:r w:rsidR="00C55766">
        <w:rPr>
          <w:rFonts w:ascii="Times New Roman" w:eastAsia="Times New Roman" w:hAnsi="Times New Roman" w:cs="Times New Roman"/>
          <w:color w:val="000000" w:themeColor="text1"/>
          <w:sz w:val="24"/>
          <w:szCs w:val="24"/>
          <w:lang w:eastAsia="fr-FR"/>
        </w:rPr>
        <w:t xml:space="preserve"> d’une surface de 163,92 hectares au sein duquel pâture, huit mois dans l’année, un troupeau d’ovins de 85 à 130 bêtes, </w:t>
      </w:r>
      <w:r w:rsidR="00455F2D">
        <w:rPr>
          <w:rFonts w:ascii="Times New Roman" w:eastAsia="Times New Roman" w:hAnsi="Times New Roman" w:cs="Times New Roman"/>
          <w:color w:val="000000" w:themeColor="text1"/>
          <w:sz w:val="24"/>
          <w:szCs w:val="24"/>
          <w:lang w:eastAsia="fr-FR"/>
        </w:rPr>
        <w:t>il est constant tel que cela ressort notamment de l’étude préalable agricole (</w:t>
      </w:r>
      <w:r w:rsidR="00455F2D" w:rsidRPr="00455F2D">
        <w:rPr>
          <w:rFonts w:ascii="Times New Roman" w:eastAsia="Times New Roman" w:hAnsi="Times New Roman" w:cs="Times New Roman"/>
          <w:i/>
          <w:color w:val="000000" w:themeColor="text1"/>
          <w:sz w:val="24"/>
          <w:szCs w:val="24"/>
          <w:lang w:eastAsia="fr-FR"/>
        </w:rPr>
        <w:t>annexe 2 de l’étude d’impact</w:t>
      </w:r>
      <w:r w:rsidR="00455F2D">
        <w:rPr>
          <w:rFonts w:ascii="Times New Roman" w:eastAsia="Times New Roman" w:hAnsi="Times New Roman" w:cs="Times New Roman"/>
          <w:color w:val="000000" w:themeColor="text1"/>
          <w:sz w:val="24"/>
          <w:szCs w:val="24"/>
          <w:lang w:eastAsia="fr-FR"/>
        </w:rPr>
        <w:t xml:space="preserve">) et de l’avis favorable de la commission départementale de la nature, des paysages et des sites du 23 février 2022 lequel était accessible tant aux juges qu’aux parties, que </w:t>
      </w:r>
      <w:r w:rsidR="00C55766">
        <w:rPr>
          <w:rFonts w:ascii="Times New Roman" w:eastAsia="Times New Roman" w:hAnsi="Times New Roman" w:cs="Times New Roman"/>
          <w:color w:val="000000" w:themeColor="text1"/>
          <w:sz w:val="24"/>
          <w:szCs w:val="24"/>
          <w:lang w:eastAsia="fr-FR"/>
        </w:rPr>
        <w:t>l’implantation du</w:t>
      </w:r>
      <w:r w:rsidR="00455F2D">
        <w:rPr>
          <w:rFonts w:ascii="Times New Roman" w:eastAsia="Times New Roman" w:hAnsi="Times New Roman" w:cs="Times New Roman"/>
          <w:color w:val="000000" w:themeColor="text1"/>
          <w:sz w:val="24"/>
          <w:szCs w:val="24"/>
          <w:lang w:eastAsia="fr-FR"/>
        </w:rPr>
        <w:t xml:space="preserve"> projet litigieux représentant moins de 8% des terres agricoles et pastorales précitées n’entrainera qu’une perte de terres de pâturage évaluée à 6% </w:t>
      </w:r>
      <w:r w:rsidR="00FE235D">
        <w:rPr>
          <w:rFonts w:ascii="Times New Roman" w:eastAsia="Times New Roman" w:hAnsi="Times New Roman" w:cs="Times New Roman"/>
          <w:color w:val="000000" w:themeColor="text1"/>
          <w:sz w:val="24"/>
          <w:szCs w:val="24"/>
          <w:lang w:eastAsia="fr-FR"/>
        </w:rPr>
        <w:t xml:space="preserve">de telle sorte que ladite commission a, sur la base d’une étude réalisée en </w:t>
      </w:r>
      <w:r w:rsidR="00FE235D">
        <w:rPr>
          <w:rFonts w:ascii="Times New Roman" w:eastAsia="Times New Roman" w:hAnsi="Times New Roman" w:cs="Times New Roman"/>
          <w:color w:val="000000" w:themeColor="text1"/>
          <w:sz w:val="24"/>
          <w:szCs w:val="24"/>
          <w:lang w:eastAsia="fr-FR"/>
        </w:rPr>
        <w:lastRenderedPageBreak/>
        <w:t xml:space="preserve">application des dispositions de l’article L. 122-7 du code de l’urbanisme, regardé le projet litigieux comme étant compatible </w:t>
      </w:r>
      <w:r w:rsidR="00FE235D" w:rsidRPr="00FE235D">
        <w:rPr>
          <w:rFonts w:ascii="Times New Roman" w:eastAsia="Times New Roman" w:hAnsi="Times New Roman" w:cs="Times New Roman"/>
          <w:color w:val="000000" w:themeColor="text1"/>
          <w:sz w:val="24"/>
          <w:szCs w:val="24"/>
          <w:lang w:eastAsia="fr-FR"/>
        </w:rPr>
        <w:t>avec le respect des objectifs de p</w:t>
      </w:r>
      <w:r w:rsidR="00FE235D">
        <w:rPr>
          <w:rFonts w:ascii="Times New Roman" w:eastAsia="Times New Roman" w:hAnsi="Times New Roman" w:cs="Times New Roman"/>
          <w:color w:val="000000" w:themeColor="text1"/>
          <w:sz w:val="24"/>
          <w:szCs w:val="24"/>
          <w:lang w:eastAsia="fr-FR"/>
        </w:rPr>
        <w:t xml:space="preserve">rotection des terres agricoles et </w:t>
      </w:r>
      <w:r w:rsidR="00FE235D" w:rsidRPr="00FE235D">
        <w:rPr>
          <w:rFonts w:ascii="Times New Roman" w:eastAsia="Times New Roman" w:hAnsi="Times New Roman" w:cs="Times New Roman"/>
          <w:color w:val="000000" w:themeColor="text1"/>
          <w:sz w:val="24"/>
          <w:szCs w:val="24"/>
          <w:lang w:eastAsia="fr-FR"/>
        </w:rPr>
        <w:t xml:space="preserve">pastorales prévus </w:t>
      </w:r>
      <w:r w:rsidR="00FE235D">
        <w:rPr>
          <w:rFonts w:ascii="Times New Roman" w:eastAsia="Times New Roman" w:hAnsi="Times New Roman" w:cs="Times New Roman"/>
          <w:color w:val="000000" w:themeColor="text1"/>
          <w:sz w:val="24"/>
          <w:szCs w:val="24"/>
          <w:lang w:eastAsia="fr-FR"/>
        </w:rPr>
        <w:t>par les disposition</w:t>
      </w:r>
      <w:r w:rsidR="00890C15">
        <w:rPr>
          <w:rFonts w:ascii="Times New Roman" w:eastAsia="Times New Roman" w:hAnsi="Times New Roman" w:cs="Times New Roman"/>
          <w:color w:val="000000" w:themeColor="text1"/>
          <w:sz w:val="24"/>
          <w:szCs w:val="24"/>
          <w:lang w:eastAsia="fr-FR"/>
        </w:rPr>
        <w:t>s</w:t>
      </w:r>
      <w:r w:rsidR="00FE235D">
        <w:rPr>
          <w:rFonts w:ascii="Times New Roman" w:eastAsia="Times New Roman" w:hAnsi="Times New Roman" w:cs="Times New Roman"/>
          <w:color w:val="000000" w:themeColor="text1"/>
          <w:sz w:val="24"/>
          <w:szCs w:val="24"/>
          <w:lang w:eastAsia="fr-FR"/>
        </w:rPr>
        <w:t xml:space="preserve"> des articles </w:t>
      </w:r>
      <w:r w:rsidR="00FE235D" w:rsidRPr="00FE235D">
        <w:rPr>
          <w:rFonts w:ascii="Times New Roman" w:eastAsia="Times New Roman" w:hAnsi="Times New Roman" w:cs="Times New Roman"/>
          <w:color w:val="000000" w:themeColor="text1"/>
          <w:sz w:val="24"/>
          <w:szCs w:val="24"/>
          <w:lang w:eastAsia="fr-FR"/>
        </w:rPr>
        <w:t>L. 122-9 et L. 122-10</w:t>
      </w:r>
      <w:r w:rsidR="00FE235D">
        <w:rPr>
          <w:rFonts w:ascii="Times New Roman" w:eastAsia="Times New Roman" w:hAnsi="Times New Roman" w:cs="Times New Roman"/>
          <w:color w:val="000000" w:themeColor="text1"/>
          <w:sz w:val="24"/>
          <w:szCs w:val="24"/>
          <w:lang w:eastAsia="fr-FR"/>
        </w:rPr>
        <w:t xml:space="preserve"> du code de l’urbanisme lesquelles ont repris celles citées par les orientations de la DTA des Alpes-Maritimes </w:t>
      </w:r>
      <w:r w:rsidR="00FE235D" w:rsidRPr="00FE235D">
        <w:rPr>
          <w:rFonts w:ascii="Times New Roman" w:eastAsia="Times New Roman" w:hAnsi="Times New Roman" w:cs="Times New Roman"/>
          <w:color w:val="000000" w:themeColor="text1"/>
          <w:sz w:val="24"/>
          <w:szCs w:val="24"/>
          <w:lang w:eastAsia="fr-FR"/>
        </w:rPr>
        <w:t>pour l’aménagement du territoire</w:t>
      </w:r>
      <w:r w:rsidR="00FE235D" w:rsidRPr="00FE235D">
        <w:t xml:space="preserve"> </w:t>
      </w:r>
      <w:r w:rsidR="00FE235D" w:rsidRPr="00FE235D">
        <w:rPr>
          <w:rFonts w:ascii="Times New Roman" w:eastAsia="Times New Roman" w:hAnsi="Times New Roman" w:cs="Times New Roman"/>
          <w:color w:val="000000" w:themeColor="text1"/>
          <w:sz w:val="24"/>
          <w:szCs w:val="24"/>
          <w:lang w:eastAsia="fr-FR"/>
        </w:rPr>
        <w:t>de la frange sud de la zone de montagne</w:t>
      </w:r>
      <w:r w:rsidR="00FE235D">
        <w:rPr>
          <w:rFonts w:ascii="Times New Roman" w:eastAsia="Times New Roman" w:hAnsi="Times New Roman" w:cs="Times New Roman"/>
          <w:color w:val="000000" w:themeColor="text1"/>
          <w:sz w:val="24"/>
          <w:szCs w:val="24"/>
          <w:lang w:eastAsia="fr-FR"/>
        </w:rPr>
        <w:t xml:space="preserve"> de l’article L. 145-3 qui ont été abrogée</w:t>
      </w:r>
      <w:r w:rsidR="00890C15">
        <w:rPr>
          <w:rFonts w:ascii="Times New Roman" w:eastAsia="Times New Roman" w:hAnsi="Times New Roman" w:cs="Times New Roman"/>
          <w:color w:val="000000" w:themeColor="text1"/>
          <w:sz w:val="24"/>
          <w:szCs w:val="24"/>
          <w:lang w:eastAsia="fr-FR"/>
        </w:rPr>
        <w:t>s</w:t>
      </w:r>
      <w:r w:rsidR="00FE235D">
        <w:rPr>
          <w:rFonts w:ascii="Times New Roman" w:eastAsia="Times New Roman" w:hAnsi="Times New Roman" w:cs="Times New Roman"/>
          <w:color w:val="000000" w:themeColor="text1"/>
          <w:sz w:val="24"/>
          <w:szCs w:val="24"/>
          <w:lang w:eastAsia="fr-FR"/>
        </w:rPr>
        <w:t xml:space="preserve"> le 1</w:t>
      </w:r>
      <w:r w:rsidR="00FE235D" w:rsidRPr="00FE235D">
        <w:rPr>
          <w:rFonts w:ascii="Times New Roman" w:eastAsia="Times New Roman" w:hAnsi="Times New Roman" w:cs="Times New Roman"/>
          <w:color w:val="000000" w:themeColor="text1"/>
          <w:sz w:val="24"/>
          <w:szCs w:val="24"/>
          <w:vertAlign w:val="superscript"/>
          <w:lang w:eastAsia="fr-FR"/>
        </w:rPr>
        <w:t>er</w:t>
      </w:r>
      <w:r w:rsidR="00FE235D">
        <w:rPr>
          <w:rFonts w:ascii="Times New Roman" w:eastAsia="Times New Roman" w:hAnsi="Times New Roman" w:cs="Times New Roman"/>
          <w:color w:val="000000" w:themeColor="text1"/>
          <w:sz w:val="24"/>
          <w:szCs w:val="24"/>
          <w:lang w:eastAsia="fr-FR"/>
        </w:rPr>
        <w:t xml:space="preserve"> janvier 2016. Dans ces conditions, et à supposer qu’un tel moyen puisse être regardé comme étant opérant en applicatio</w:t>
      </w:r>
      <w:r w:rsidR="00890C15">
        <w:rPr>
          <w:rFonts w:ascii="Times New Roman" w:eastAsia="Times New Roman" w:hAnsi="Times New Roman" w:cs="Times New Roman"/>
          <w:color w:val="000000" w:themeColor="text1"/>
          <w:sz w:val="24"/>
          <w:szCs w:val="24"/>
          <w:lang w:eastAsia="fr-FR"/>
        </w:rPr>
        <w:t>n du principe énoncé au point 65</w:t>
      </w:r>
      <w:r w:rsidR="00FE235D">
        <w:rPr>
          <w:rFonts w:ascii="Times New Roman" w:eastAsia="Times New Roman" w:hAnsi="Times New Roman" w:cs="Times New Roman"/>
          <w:color w:val="000000" w:themeColor="text1"/>
          <w:sz w:val="24"/>
          <w:szCs w:val="24"/>
          <w:lang w:eastAsia="fr-FR"/>
        </w:rPr>
        <w:t xml:space="preserve"> du jugement, ce moyen</w:t>
      </w:r>
      <w:r w:rsidR="008A5BFF">
        <w:rPr>
          <w:rFonts w:ascii="Times New Roman" w:eastAsia="Times New Roman" w:hAnsi="Times New Roman" w:cs="Times New Roman"/>
          <w:color w:val="000000" w:themeColor="text1"/>
          <w:sz w:val="24"/>
          <w:szCs w:val="24"/>
          <w:lang w:eastAsia="fr-FR"/>
        </w:rPr>
        <w:t xml:space="preserve"> devrait toutefois être écarté comme étant </w:t>
      </w:r>
      <w:r w:rsidR="00FE235D">
        <w:rPr>
          <w:rFonts w:ascii="Times New Roman" w:eastAsia="Times New Roman" w:hAnsi="Times New Roman" w:cs="Times New Roman"/>
          <w:color w:val="000000" w:themeColor="text1"/>
          <w:sz w:val="24"/>
          <w:szCs w:val="24"/>
          <w:lang w:eastAsia="fr-FR"/>
        </w:rPr>
        <w:t>infondé.</w:t>
      </w:r>
    </w:p>
    <w:p w14:paraId="32EC09BC" w14:textId="1A01B74F" w:rsidR="00FE235D" w:rsidRDefault="00FE235D" w:rsidP="00FE235D">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4EE20D31" w14:textId="37AF0280" w:rsidR="00FE235D" w:rsidRDefault="00E41E3A" w:rsidP="00FE235D">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69</w:t>
      </w:r>
      <w:r w:rsidR="00FE235D">
        <w:rPr>
          <w:rFonts w:ascii="Times New Roman" w:eastAsia="Times New Roman" w:hAnsi="Times New Roman" w:cs="Times New Roman"/>
          <w:color w:val="000000" w:themeColor="text1"/>
          <w:sz w:val="24"/>
          <w:szCs w:val="24"/>
          <w:lang w:eastAsia="fr-FR"/>
        </w:rPr>
        <w:t xml:space="preserve">. </w:t>
      </w:r>
      <w:r w:rsidR="00E436D7">
        <w:rPr>
          <w:rFonts w:ascii="Times New Roman" w:eastAsia="Times New Roman" w:hAnsi="Times New Roman" w:cs="Times New Roman"/>
          <w:color w:val="000000" w:themeColor="text1"/>
          <w:sz w:val="24"/>
          <w:szCs w:val="24"/>
          <w:lang w:eastAsia="fr-FR"/>
        </w:rPr>
        <w:t>Par suite,</w:t>
      </w:r>
      <w:r w:rsidR="00FE235D">
        <w:rPr>
          <w:rFonts w:ascii="Times New Roman" w:eastAsia="Times New Roman" w:hAnsi="Times New Roman" w:cs="Times New Roman"/>
          <w:color w:val="000000" w:themeColor="text1"/>
          <w:sz w:val="24"/>
          <w:szCs w:val="24"/>
          <w:lang w:eastAsia="fr-FR"/>
        </w:rPr>
        <w:t xml:space="preserve"> le moyen susmentionné tiré de l’exception d’illégalité du règlement du </w:t>
      </w:r>
      <w:proofErr w:type="spellStart"/>
      <w:r w:rsidR="00FE235D">
        <w:rPr>
          <w:rFonts w:ascii="Times New Roman" w:eastAsia="Times New Roman" w:hAnsi="Times New Roman" w:cs="Times New Roman"/>
          <w:color w:val="000000" w:themeColor="text1"/>
          <w:sz w:val="24"/>
          <w:szCs w:val="24"/>
          <w:lang w:eastAsia="fr-FR"/>
        </w:rPr>
        <w:t>PLUm</w:t>
      </w:r>
      <w:proofErr w:type="spellEnd"/>
      <w:r w:rsidR="00FE235D">
        <w:rPr>
          <w:rFonts w:ascii="Times New Roman" w:eastAsia="Times New Roman" w:hAnsi="Times New Roman" w:cs="Times New Roman"/>
          <w:color w:val="000000" w:themeColor="text1"/>
          <w:sz w:val="24"/>
          <w:szCs w:val="24"/>
          <w:lang w:eastAsia="fr-FR"/>
        </w:rPr>
        <w:t xml:space="preserve"> doit être écarté. </w:t>
      </w:r>
    </w:p>
    <w:p w14:paraId="330A40BB" w14:textId="46AAF0C5" w:rsidR="00890C15" w:rsidRDefault="00890C15" w:rsidP="00FE235D">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26E3837E" w14:textId="72C2CBB4" w:rsidR="00890C15" w:rsidRDefault="00890C15" w:rsidP="00FE235D">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70. </w:t>
      </w:r>
      <w:r w:rsidRPr="00890C15">
        <w:rPr>
          <w:rFonts w:ascii="Times New Roman" w:eastAsia="Times New Roman" w:hAnsi="Times New Roman" w:cs="Times New Roman"/>
          <w:color w:val="000000" w:themeColor="text1"/>
          <w:sz w:val="24"/>
          <w:szCs w:val="24"/>
          <w:lang w:eastAsia="fr-FR"/>
        </w:rPr>
        <w:t xml:space="preserve">Il résulte de tout ce qui précède que </w:t>
      </w:r>
      <w:r>
        <w:rPr>
          <w:rFonts w:ascii="Times New Roman" w:eastAsia="Times New Roman" w:hAnsi="Times New Roman" w:cs="Times New Roman"/>
          <w:color w:val="000000" w:themeColor="text1"/>
          <w:sz w:val="24"/>
          <w:szCs w:val="24"/>
          <w:lang w:eastAsia="fr-FR"/>
        </w:rPr>
        <w:t xml:space="preserve">l’association requérante est fondée </w:t>
      </w:r>
      <w:r w:rsidRPr="00890C15">
        <w:rPr>
          <w:rFonts w:ascii="Times New Roman" w:eastAsia="Times New Roman" w:hAnsi="Times New Roman" w:cs="Times New Roman"/>
          <w:color w:val="000000" w:themeColor="text1"/>
          <w:sz w:val="24"/>
          <w:szCs w:val="24"/>
          <w:lang w:eastAsia="fr-FR"/>
        </w:rPr>
        <w:t>à demander l’annulation de l’arrêté du 1</w:t>
      </w:r>
      <w:r w:rsidRPr="00890C15">
        <w:rPr>
          <w:rFonts w:ascii="Times New Roman" w:eastAsia="Times New Roman" w:hAnsi="Times New Roman" w:cs="Times New Roman"/>
          <w:color w:val="000000" w:themeColor="text1"/>
          <w:sz w:val="24"/>
          <w:szCs w:val="24"/>
          <w:vertAlign w:val="superscript"/>
          <w:lang w:eastAsia="fr-FR"/>
        </w:rPr>
        <w:t>er</w:t>
      </w:r>
      <w:r w:rsidRPr="00890C15">
        <w:rPr>
          <w:rFonts w:ascii="Times New Roman" w:eastAsia="Times New Roman" w:hAnsi="Times New Roman" w:cs="Times New Roman"/>
          <w:color w:val="000000" w:themeColor="text1"/>
          <w:sz w:val="24"/>
          <w:szCs w:val="24"/>
          <w:lang w:eastAsia="fr-FR"/>
        </w:rPr>
        <w:t xml:space="preserve"> mars 2024 par lequel le préfet des Alpes-Maritimes a délivré à la SMEG un permis de construire portant sur la réalisation d’un parc photovoltaïque dès lors, ainsi que cela a été dit au</w:t>
      </w:r>
      <w:r>
        <w:rPr>
          <w:rFonts w:ascii="Times New Roman" w:eastAsia="Times New Roman" w:hAnsi="Times New Roman" w:cs="Times New Roman"/>
          <w:color w:val="000000" w:themeColor="text1"/>
          <w:sz w:val="24"/>
          <w:szCs w:val="24"/>
          <w:lang w:eastAsia="fr-FR"/>
        </w:rPr>
        <w:t>x</w:t>
      </w:r>
      <w:r w:rsidRPr="00890C15">
        <w:rPr>
          <w:rFonts w:ascii="Times New Roman" w:eastAsia="Times New Roman" w:hAnsi="Times New Roman" w:cs="Times New Roman"/>
          <w:color w:val="000000" w:themeColor="text1"/>
          <w:sz w:val="24"/>
          <w:szCs w:val="24"/>
          <w:lang w:eastAsia="fr-FR"/>
        </w:rPr>
        <w:t xml:space="preserve"> point</w:t>
      </w:r>
      <w:r>
        <w:rPr>
          <w:rFonts w:ascii="Times New Roman" w:eastAsia="Times New Roman" w:hAnsi="Times New Roman" w:cs="Times New Roman"/>
          <w:color w:val="000000" w:themeColor="text1"/>
          <w:sz w:val="24"/>
          <w:szCs w:val="24"/>
          <w:lang w:eastAsia="fr-FR"/>
        </w:rPr>
        <w:t xml:space="preserve">s 26 à 28 du </w:t>
      </w:r>
      <w:r w:rsidRPr="00890C15">
        <w:rPr>
          <w:rFonts w:ascii="Times New Roman" w:eastAsia="Times New Roman" w:hAnsi="Times New Roman" w:cs="Times New Roman"/>
          <w:color w:val="000000" w:themeColor="text1"/>
          <w:sz w:val="24"/>
          <w:szCs w:val="24"/>
          <w:lang w:eastAsia="fr-FR"/>
        </w:rPr>
        <w:t xml:space="preserve">jugement, que ledit arrêté est entaché, </w:t>
      </w:r>
      <w:r>
        <w:rPr>
          <w:rFonts w:ascii="Times New Roman" w:eastAsia="Times New Roman" w:hAnsi="Times New Roman" w:cs="Times New Roman"/>
          <w:color w:val="000000" w:themeColor="text1"/>
          <w:sz w:val="24"/>
          <w:szCs w:val="24"/>
          <w:lang w:eastAsia="fr-FR"/>
        </w:rPr>
        <w:t>au regard des dispositions des 3° et 5°</w:t>
      </w:r>
      <w:r w:rsidRPr="00890C15">
        <w:rPr>
          <w:rFonts w:ascii="Times New Roman" w:eastAsia="Times New Roman" w:hAnsi="Times New Roman" w:cs="Times New Roman"/>
          <w:color w:val="000000" w:themeColor="text1"/>
          <w:sz w:val="24"/>
          <w:szCs w:val="24"/>
          <w:lang w:eastAsia="fr-FR"/>
        </w:rPr>
        <w:t xml:space="preserve"> de l’article R. 122-5 du code de l’environnement, d’un vice de procédure de nature à entrainer son illégalité.</w:t>
      </w:r>
    </w:p>
    <w:p w14:paraId="58FE4EF4" w14:textId="7033C60E" w:rsidR="00C02F44" w:rsidRDefault="00C02F44" w:rsidP="00FE235D">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7817B3D7" w14:textId="77777777" w:rsidR="00E41E3A" w:rsidRPr="00E41E3A" w:rsidRDefault="00E41E3A" w:rsidP="00E41E3A">
      <w:pPr>
        <w:spacing w:after="0" w:line="240" w:lineRule="auto"/>
        <w:jc w:val="both"/>
        <w:rPr>
          <w:rFonts w:ascii="Times New Roman" w:eastAsia="Times New Roman" w:hAnsi="Times New Roman" w:cs="Times New Roman"/>
          <w:b/>
          <w:color w:val="000000" w:themeColor="text1"/>
          <w:sz w:val="24"/>
          <w:szCs w:val="24"/>
          <w:u w:val="single"/>
          <w:lang w:eastAsia="fr-FR"/>
        </w:rPr>
      </w:pPr>
      <w:r w:rsidRPr="00E41E3A">
        <w:rPr>
          <w:rFonts w:ascii="Times New Roman" w:eastAsia="Times New Roman" w:hAnsi="Times New Roman" w:cs="Times New Roman"/>
          <w:b/>
          <w:color w:val="000000" w:themeColor="text1"/>
          <w:sz w:val="24"/>
          <w:szCs w:val="24"/>
          <w:u w:val="single"/>
          <w:lang w:eastAsia="fr-FR"/>
        </w:rPr>
        <w:t>Sur l’application de l’article L. 600-5-1 du code de l’urbanisme :</w:t>
      </w:r>
    </w:p>
    <w:p w14:paraId="405B2682" w14:textId="77777777" w:rsidR="00E41E3A" w:rsidRPr="00E41E3A" w:rsidRDefault="00E41E3A" w:rsidP="00E41E3A">
      <w:pPr>
        <w:spacing w:after="0" w:line="240" w:lineRule="auto"/>
        <w:ind w:firstLine="851"/>
        <w:jc w:val="both"/>
        <w:rPr>
          <w:rFonts w:ascii="Times New Roman" w:eastAsia="Times New Roman" w:hAnsi="Times New Roman" w:cs="Times New Roman"/>
          <w:b/>
          <w:color w:val="000000" w:themeColor="text1"/>
          <w:sz w:val="24"/>
          <w:szCs w:val="24"/>
          <w:u w:val="single"/>
          <w:lang w:eastAsia="fr-FR"/>
        </w:rPr>
      </w:pPr>
    </w:p>
    <w:p w14:paraId="03E1162F" w14:textId="053CF055" w:rsidR="00E41E3A" w:rsidRPr="00E41E3A" w:rsidRDefault="00890C15" w:rsidP="00E41E3A">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71</w:t>
      </w:r>
      <w:r w:rsidR="00E41E3A" w:rsidRPr="00E41E3A">
        <w:rPr>
          <w:rFonts w:ascii="Times New Roman" w:eastAsia="Times New Roman" w:hAnsi="Times New Roman" w:cs="Times New Roman"/>
          <w:color w:val="000000" w:themeColor="text1"/>
          <w:sz w:val="24"/>
          <w:szCs w:val="24"/>
          <w:lang w:eastAsia="fr-FR"/>
        </w:rPr>
        <w:t xml:space="preserve">. Aux termes de l’article L.600-5-1 du code de l’urbanisme : « </w:t>
      </w:r>
      <w:r w:rsidR="00E41E3A" w:rsidRPr="00E41E3A">
        <w:rPr>
          <w:rFonts w:ascii="Times New Roman" w:eastAsia="Times New Roman" w:hAnsi="Times New Roman" w:cs="Times New Roman"/>
          <w:i/>
          <w:color w:val="000000" w:themeColor="text1"/>
          <w:sz w:val="24"/>
          <w:szCs w:val="24"/>
          <w:lang w:eastAsia="fr-FR"/>
        </w:rPr>
        <w:t>Sans préjudice de la mise en œuvre de l'article L. 600-5, le juge administratif qui, saisi de conclusions dirigées contre un permis de construire, de démolir ou d'aménager ou contre une décision de non-opposition à déclaration préalable estime, après avoir constaté que les autres moyens ne sont pas fondés, qu'un vice entraînant l'illégalité de cet acte est susceptible d'être régularisé, sursoit à statuer, après avoir invité les parties à présenter leurs observations, jusqu'à l'expiration du délai qu'il fixe pour cette régularisation, même après l'achèvement des travaux. Si une mesure de régularisation est notifiée dans ce délai au juge, celui-ci statue après avoir invité les parties à présenter leurs observations. Le refus par le juge de faire droit à une demande de sursis à statuer est motivé</w:t>
      </w:r>
      <w:r w:rsidR="00E41E3A" w:rsidRPr="00E41E3A">
        <w:rPr>
          <w:rFonts w:ascii="Times New Roman" w:eastAsia="Times New Roman" w:hAnsi="Times New Roman" w:cs="Times New Roman"/>
          <w:color w:val="000000" w:themeColor="text1"/>
          <w:sz w:val="24"/>
          <w:szCs w:val="24"/>
          <w:lang w:eastAsia="fr-FR"/>
        </w:rPr>
        <w:t xml:space="preserve"> ».</w:t>
      </w:r>
    </w:p>
    <w:p w14:paraId="6D1CAB17" w14:textId="77777777" w:rsidR="00E41E3A" w:rsidRPr="00E41E3A" w:rsidRDefault="00E41E3A" w:rsidP="00E41E3A">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7FDC7D06" w14:textId="3236D567" w:rsidR="00E41E3A" w:rsidRPr="00E41E3A" w:rsidRDefault="00890C15" w:rsidP="00E41E3A">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72</w:t>
      </w:r>
      <w:r w:rsidR="00E41E3A" w:rsidRPr="00E41E3A">
        <w:rPr>
          <w:rFonts w:ascii="Times New Roman" w:eastAsia="Times New Roman" w:hAnsi="Times New Roman" w:cs="Times New Roman"/>
          <w:color w:val="000000" w:themeColor="text1"/>
          <w:sz w:val="24"/>
          <w:szCs w:val="24"/>
          <w:lang w:eastAsia="fr-FR"/>
        </w:rPr>
        <w:t>. Il résulte des dispositions citées au point précédent, éclairées par les travaux parlementaires, que lorsque le ou les vices affectant la légalité de l’autorisation d’urbanisme dont l’annulation est demandée, sont susceptibles d’être régularisés, le juge doit surseoir à statuer sur les conclusions dont il est saisi contre cette autorisation. Il invite au préalable les parties à présenter leurs observations sur la possibilité de régulariser le ou les vices affectant la légalité de l’autorisation d’urbanisme. Le juge n’est toutefois pas tenu de surseoir à statuer, d’une part, si les conditions de l’article L. 600-5 du code de l’urbanisme sont réunies et qu’il fait le choix d’y recourir, d’autre part, si le bénéficiaire de l’autorisation lui a indiqué qu’il ne souhaitait pas bénéficier d’une mesure de régularisation. Un vice entachant le bien-fondé de l’autorisation d’urbanisme est susceptible d’être régularisé, même si cette régularisation implique de revoir l’économie générale du projet en cause, dès lors que les règles d’urbanisme en vigueur à la date à laquelle le juge statue permettent une mesure de régularisation qui n’implique pas d’apporter à ce projet un bouleversement tel qu’il en changerait la nature même.</w:t>
      </w:r>
    </w:p>
    <w:p w14:paraId="48B55022" w14:textId="77777777" w:rsidR="00E41E3A" w:rsidRPr="00E41E3A" w:rsidRDefault="00E41E3A" w:rsidP="00E41E3A">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6ECFF30D" w14:textId="3307B0F5" w:rsidR="00E41E3A" w:rsidRPr="00E41E3A" w:rsidRDefault="00890C15" w:rsidP="00E41E3A">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73</w:t>
      </w:r>
      <w:r w:rsidR="00E41E3A" w:rsidRPr="00E41E3A">
        <w:rPr>
          <w:rFonts w:ascii="Times New Roman" w:eastAsia="Times New Roman" w:hAnsi="Times New Roman" w:cs="Times New Roman"/>
          <w:color w:val="000000" w:themeColor="text1"/>
          <w:sz w:val="24"/>
          <w:szCs w:val="24"/>
          <w:lang w:eastAsia="fr-FR"/>
        </w:rPr>
        <w:t>. Un vice entachant la régularité de la procédure d’évaluation environnementale préalable à la délivrance d’un permis de construire peut-être régularisé par le pétitionnaire. Cette régularisation implique alors de mettre en œuvre les dispositions applicables à cette évaluation à la date de la délivrance du permis de construire.</w:t>
      </w:r>
    </w:p>
    <w:p w14:paraId="3AAC3D99" w14:textId="77777777" w:rsidR="00E41E3A" w:rsidRPr="00E41E3A" w:rsidRDefault="00E41E3A" w:rsidP="00E41E3A">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7CC3E46E" w14:textId="61168526" w:rsidR="00E41E3A" w:rsidRPr="00E41E3A" w:rsidRDefault="00890C15" w:rsidP="00E41E3A">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74</w:t>
      </w:r>
      <w:r w:rsidR="00E41E3A" w:rsidRPr="00E41E3A">
        <w:rPr>
          <w:rFonts w:ascii="Times New Roman" w:eastAsia="Times New Roman" w:hAnsi="Times New Roman" w:cs="Times New Roman"/>
          <w:color w:val="000000" w:themeColor="text1"/>
          <w:sz w:val="24"/>
          <w:szCs w:val="24"/>
          <w:lang w:eastAsia="fr-FR"/>
        </w:rPr>
        <w:t>. En l’espèce, la demande de permis de construire en litige était soumise à évaluation environnementale en application des dispositions de l’article L. 122-1 du code de l’environnement et, à ce titre, elle devait comporter une étude d’impact conforme aux dispositions de l’article R. 122-5 de ce même code, faire l’objet d’un avis de la mission régionale d’autorité environnementale et faire l’objet d’une enquête publique. Or, ainsi que cela a été dit au</w:t>
      </w:r>
      <w:r w:rsidR="007111F8">
        <w:rPr>
          <w:rFonts w:ascii="Times New Roman" w:eastAsia="Times New Roman" w:hAnsi="Times New Roman" w:cs="Times New Roman"/>
          <w:color w:val="000000" w:themeColor="text1"/>
          <w:sz w:val="24"/>
          <w:szCs w:val="24"/>
          <w:lang w:eastAsia="fr-FR"/>
        </w:rPr>
        <w:t>x</w:t>
      </w:r>
      <w:r w:rsidR="00E41E3A" w:rsidRPr="00E41E3A">
        <w:rPr>
          <w:rFonts w:ascii="Times New Roman" w:eastAsia="Times New Roman" w:hAnsi="Times New Roman" w:cs="Times New Roman"/>
          <w:color w:val="000000" w:themeColor="text1"/>
          <w:sz w:val="24"/>
          <w:szCs w:val="24"/>
          <w:lang w:eastAsia="fr-FR"/>
        </w:rPr>
        <w:t xml:space="preserve"> point</w:t>
      </w:r>
      <w:r w:rsidR="007111F8">
        <w:rPr>
          <w:rFonts w:ascii="Times New Roman" w:eastAsia="Times New Roman" w:hAnsi="Times New Roman" w:cs="Times New Roman"/>
          <w:color w:val="000000" w:themeColor="text1"/>
          <w:sz w:val="24"/>
          <w:szCs w:val="24"/>
          <w:lang w:eastAsia="fr-FR"/>
        </w:rPr>
        <w:t>s</w:t>
      </w:r>
      <w:r w:rsidR="00E41E3A" w:rsidRPr="00E41E3A">
        <w:rPr>
          <w:rFonts w:ascii="Times New Roman" w:eastAsia="Times New Roman" w:hAnsi="Times New Roman" w:cs="Times New Roman"/>
          <w:color w:val="000000" w:themeColor="text1"/>
          <w:sz w:val="24"/>
          <w:szCs w:val="24"/>
          <w:lang w:eastAsia="fr-FR"/>
        </w:rPr>
        <w:t xml:space="preserve"> </w:t>
      </w:r>
      <w:r w:rsidR="007111F8">
        <w:rPr>
          <w:rFonts w:ascii="Times New Roman" w:eastAsia="Times New Roman" w:hAnsi="Times New Roman" w:cs="Times New Roman"/>
          <w:color w:val="000000" w:themeColor="text1"/>
          <w:sz w:val="24"/>
          <w:szCs w:val="24"/>
          <w:lang w:eastAsia="fr-FR"/>
        </w:rPr>
        <w:t xml:space="preserve">26 à 28 </w:t>
      </w:r>
      <w:r w:rsidR="00E41E3A" w:rsidRPr="00E41E3A">
        <w:rPr>
          <w:rFonts w:ascii="Times New Roman" w:eastAsia="Times New Roman" w:hAnsi="Times New Roman" w:cs="Times New Roman"/>
          <w:color w:val="000000" w:themeColor="text1"/>
          <w:sz w:val="24"/>
          <w:szCs w:val="24"/>
          <w:lang w:eastAsia="fr-FR"/>
        </w:rPr>
        <w:t xml:space="preserve">du jugement, l’étude d’impact qui a été préalablement réalisée à la </w:t>
      </w:r>
      <w:r w:rsidR="00AB6D1E" w:rsidRPr="00AB6D1E">
        <w:rPr>
          <w:rFonts w:ascii="Times New Roman" w:eastAsia="Times New Roman" w:hAnsi="Times New Roman" w:cs="Times New Roman"/>
          <w:color w:val="000000" w:themeColor="text1"/>
          <w:sz w:val="24"/>
          <w:szCs w:val="24"/>
          <w:lang w:eastAsia="fr-FR"/>
        </w:rPr>
        <w:t>délivrance du permis de construire litigieux</w:t>
      </w:r>
      <w:r w:rsidR="00E41E3A" w:rsidRPr="00E41E3A">
        <w:rPr>
          <w:rFonts w:ascii="Times New Roman" w:eastAsia="Times New Roman" w:hAnsi="Times New Roman" w:cs="Times New Roman"/>
          <w:color w:val="000000" w:themeColor="text1"/>
          <w:sz w:val="24"/>
          <w:szCs w:val="24"/>
          <w:lang w:eastAsia="fr-FR"/>
        </w:rPr>
        <w:t xml:space="preserve"> ne peut être regardée comme suffisante</w:t>
      </w:r>
      <w:r w:rsidR="007111F8">
        <w:rPr>
          <w:rFonts w:ascii="Times New Roman" w:eastAsia="Times New Roman" w:hAnsi="Times New Roman" w:cs="Times New Roman"/>
          <w:color w:val="000000" w:themeColor="text1"/>
          <w:sz w:val="24"/>
          <w:szCs w:val="24"/>
          <w:lang w:eastAsia="fr-FR"/>
        </w:rPr>
        <w:t xml:space="preserve"> au regard des dispositions des 3</w:t>
      </w:r>
      <w:r w:rsidR="00E41E3A" w:rsidRPr="00E41E3A">
        <w:rPr>
          <w:rFonts w:ascii="Times New Roman" w:eastAsia="Times New Roman" w:hAnsi="Times New Roman" w:cs="Times New Roman"/>
          <w:color w:val="000000" w:themeColor="text1"/>
          <w:sz w:val="24"/>
          <w:szCs w:val="24"/>
          <w:lang w:eastAsia="fr-FR"/>
        </w:rPr>
        <w:t>°</w:t>
      </w:r>
      <w:r w:rsidR="007111F8">
        <w:rPr>
          <w:rFonts w:ascii="Times New Roman" w:eastAsia="Times New Roman" w:hAnsi="Times New Roman" w:cs="Times New Roman"/>
          <w:color w:val="000000" w:themeColor="text1"/>
          <w:sz w:val="24"/>
          <w:szCs w:val="24"/>
          <w:lang w:eastAsia="fr-FR"/>
        </w:rPr>
        <w:t xml:space="preserve"> et 5°</w:t>
      </w:r>
      <w:r w:rsidR="00E41E3A" w:rsidRPr="00E41E3A">
        <w:rPr>
          <w:rFonts w:ascii="Times New Roman" w:eastAsia="Times New Roman" w:hAnsi="Times New Roman" w:cs="Times New Roman"/>
          <w:color w:val="000000" w:themeColor="text1"/>
          <w:sz w:val="24"/>
          <w:szCs w:val="24"/>
          <w:lang w:eastAsia="fr-FR"/>
        </w:rPr>
        <w:t xml:space="preserve"> de cet article R. 122-5 du code de l’environnement.</w:t>
      </w:r>
    </w:p>
    <w:p w14:paraId="021F459A" w14:textId="77777777" w:rsidR="00E41E3A" w:rsidRPr="00E41E3A" w:rsidRDefault="00E41E3A" w:rsidP="00E41E3A">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04BDDF52" w14:textId="0A4B1C61" w:rsidR="00E41E3A" w:rsidRPr="00E41E3A" w:rsidRDefault="00890C15" w:rsidP="0051149B">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75</w:t>
      </w:r>
      <w:r w:rsidR="00E41E3A" w:rsidRPr="00E41E3A">
        <w:rPr>
          <w:rFonts w:ascii="Times New Roman" w:eastAsia="Times New Roman" w:hAnsi="Times New Roman" w:cs="Times New Roman"/>
          <w:color w:val="000000" w:themeColor="text1"/>
          <w:sz w:val="24"/>
          <w:szCs w:val="24"/>
          <w:lang w:eastAsia="fr-FR"/>
        </w:rPr>
        <w:t xml:space="preserve">. La régularisation </w:t>
      </w:r>
      <w:r w:rsidR="007111F8">
        <w:rPr>
          <w:rFonts w:ascii="Times New Roman" w:eastAsia="Times New Roman" w:hAnsi="Times New Roman" w:cs="Times New Roman"/>
          <w:color w:val="000000" w:themeColor="text1"/>
          <w:sz w:val="24"/>
          <w:szCs w:val="24"/>
          <w:lang w:eastAsia="fr-FR"/>
        </w:rPr>
        <w:t>des</w:t>
      </w:r>
      <w:r w:rsidR="00E41E3A" w:rsidRPr="00E41E3A">
        <w:rPr>
          <w:rFonts w:ascii="Times New Roman" w:eastAsia="Times New Roman" w:hAnsi="Times New Roman" w:cs="Times New Roman"/>
          <w:color w:val="000000" w:themeColor="text1"/>
          <w:sz w:val="24"/>
          <w:szCs w:val="24"/>
          <w:lang w:eastAsia="fr-FR"/>
        </w:rPr>
        <w:t xml:space="preserve"> vice</w:t>
      </w:r>
      <w:r w:rsidR="007111F8">
        <w:rPr>
          <w:rFonts w:ascii="Times New Roman" w:eastAsia="Times New Roman" w:hAnsi="Times New Roman" w:cs="Times New Roman"/>
          <w:color w:val="000000" w:themeColor="text1"/>
          <w:sz w:val="24"/>
          <w:szCs w:val="24"/>
          <w:lang w:eastAsia="fr-FR"/>
        </w:rPr>
        <w:t>s</w:t>
      </w:r>
      <w:r w:rsidR="00E41E3A" w:rsidRPr="00E41E3A">
        <w:rPr>
          <w:rFonts w:ascii="Times New Roman" w:eastAsia="Times New Roman" w:hAnsi="Times New Roman" w:cs="Times New Roman"/>
          <w:color w:val="000000" w:themeColor="text1"/>
          <w:sz w:val="24"/>
          <w:szCs w:val="24"/>
          <w:lang w:eastAsia="fr-FR"/>
        </w:rPr>
        <w:t xml:space="preserve"> mentionné</w:t>
      </w:r>
      <w:r w:rsidR="007111F8">
        <w:rPr>
          <w:rFonts w:ascii="Times New Roman" w:eastAsia="Times New Roman" w:hAnsi="Times New Roman" w:cs="Times New Roman"/>
          <w:color w:val="000000" w:themeColor="text1"/>
          <w:sz w:val="24"/>
          <w:szCs w:val="24"/>
          <w:lang w:eastAsia="fr-FR"/>
        </w:rPr>
        <w:t>s</w:t>
      </w:r>
      <w:r w:rsidR="00E41E3A" w:rsidRPr="00E41E3A">
        <w:rPr>
          <w:rFonts w:ascii="Times New Roman" w:eastAsia="Times New Roman" w:hAnsi="Times New Roman" w:cs="Times New Roman"/>
          <w:color w:val="000000" w:themeColor="text1"/>
          <w:sz w:val="24"/>
          <w:szCs w:val="24"/>
          <w:lang w:eastAsia="fr-FR"/>
        </w:rPr>
        <w:t xml:space="preserve"> au</w:t>
      </w:r>
      <w:r w:rsidR="007111F8">
        <w:rPr>
          <w:rFonts w:ascii="Times New Roman" w:eastAsia="Times New Roman" w:hAnsi="Times New Roman" w:cs="Times New Roman"/>
          <w:color w:val="000000" w:themeColor="text1"/>
          <w:sz w:val="24"/>
          <w:szCs w:val="24"/>
          <w:lang w:eastAsia="fr-FR"/>
        </w:rPr>
        <w:t>x</w:t>
      </w:r>
      <w:r w:rsidR="00E41E3A" w:rsidRPr="00E41E3A">
        <w:rPr>
          <w:rFonts w:ascii="Times New Roman" w:eastAsia="Times New Roman" w:hAnsi="Times New Roman" w:cs="Times New Roman"/>
          <w:color w:val="000000" w:themeColor="text1"/>
          <w:sz w:val="24"/>
          <w:szCs w:val="24"/>
          <w:lang w:eastAsia="fr-FR"/>
        </w:rPr>
        <w:t xml:space="preserve"> point</w:t>
      </w:r>
      <w:r w:rsidR="007111F8">
        <w:rPr>
          <w:rFonts w:ascii="Times New Roman" w:eastAsia="Times New Roman" w:hAnsi="Times New Roman" w:cs="Times New Roman"/>
          <w:color w:val="000000" w:themeColor="text1"/>
          <w:sz w:val="24"/>
          <w:szCs w:val="24"/>
          <w:lang w:eastAsia="fr-FR"/>
        </w:rPr>
        <w:t>s</w:t>
      </w:r>
      <w:r w:rsidR="00E41E3A" w:rsidRPr="00E41E3A">
        <w:rPr>
          <w:rFonts w:ascii="Times New Roman" w:eastAsia="Times New Roman" w:hAnsi="Times New Roman" w:cs="Times New Roman"/>
          <w:color w:val="000000" w:themeColor="text1"/>
          <w:sz w:val="24"/>
          <w:szCs w:val="24"/>
          <w:lang w:eastAsia="fr-FR"/>
        </w:rPr>
        <w:t xml:space="preserve"> </w:t>
      </w:r>
      <w:r w:rsidR="007111F8">
        <w:rPr>
          <w:rFonts w:ascii="Times New Roman" w:eastAsia="Times New Roman" w:hAnsi="Times New Roman" w:cs="Times New Roman"/>
          <w:color w:val="000000" w:themeColor="text1"/>
          <w:sz w:val="24"/>
          <w:szCs w:val="24"/>
          <w:lang w:eastAsia="fr-FR"/>
        </w:rPr>
        <w:t>26 à 28</w:t>
      </w:r>
      <w:r w:rsidR="00E41E3A" w:rsidRPr="00E41E3A">
        <w:rPr>
          <w:rFonts w:ascii="Times New Roman" w:eastAsia="Times New Roman" w:hAnsi="Times New Roman" w:cs="Times New Roman"/>
          <w:color w:val="000000" w:themeColor="text1"/>
          <w:sz w:val="24"/>
          <w:szCs w:val="24"/>
          <w:lang w:eastAsia="fr-FR"/>
        </w:rPr>
        <w:t xml:space="preserve"> du jugement implique que l’étude d’impact soit complétée s’agissant de la description </w:t>
      </w:r>
      <w:r w:rsidR="00AB6D1E">
        <w:rPr>
          <w:rFonts w:ascii="Times New Roman" w:eastAsia="Times New Roman" w:hAnsi="Times New Roman" w:cs="Times New Roman"/>
          <w:color w:val="000000" w:themeColor="text1"/>
          <w:sz w:val="24"/>
          <w:szCs w:val="24"/>
          <w:lang w:eastAsia="fr-FR"/>
        </w:rPr>
        <w:t xml:space="preserve">tant </w:t>
      </w:r>
      <w:r w:rsidR="0051149B">
        <w:rPr>
          <w:rFonts w:ascii="Times New Roman" w:eastAsia="Times New Roman" w:hAnsi="Times New Roman" w:cs="Times New Roman"/>
          <w:color w:val="000000" w:themeColor="text1"/>
          <w:sz w:val="24"/>
          <w:szCs w:val="24"/>
          <w:lang w:eastAsia="fr-FR"/>
        </w:rPr>
        <w:t xml:space="preserve">de </w:t>
      </w:r>
      <w:r w:rsidR="0051149B" w:rsidRPr="0051149B">
        <w:rPr>
          <w:rFonts w:ascii="Times New Roman" w:eastAsia="Times New Roman" w:hAnsi="Times New Roman" w:cs="Times New Roman"/>
          <w:color w:val="000000" w:themeColor="text1"/>
          <w:sz w:val="24"/>
          <w:szCs w:val="24"/>
          <w:lang w:eastAsia="fr-FR"/>
        </w:rPr>
        <w:t xml:space="preserve">la fonctionnalité écologique du secteur </w:t>
      </w:r>
      <w:r w:rsidR="00AB6D1E">
        <w:rPr>
          <w:rFonts w:ascii="Times New Roman" w:eastAsia="Times New Roman" w:hAnsi="Times New Roman" w:cs="Times New Roman"/>
          <w:color w:val="000000" w:themeColor="text1"/>
          <w:sz w:val="24"/>
          <w:szCs w:val="24"/>
          <w:lang w:eastAsia="fr-FR"/>
        </w:rPr>
        <w:t xml:space="preserve">litigieux que </w:t>
      </w:r>
      <w:r w:rsidR="0051149B">
        <w:rPr>
          <w:rFonts w:ascii="Times New Roman" w:eastAsia="Times New Roman" w:hAnsi="Times New Roman" w:cs="Times New Roman"/>
          <w:color w:val="000000" w:themeColor="text1"/>
          <w:sz w:val="24"/>
          <w:szCs w:val="24"/>
          <w:lang w:eastAsia="fr-FR"/>
        </w:rPr>
        <w:t>d</w:t>
      </w:r>
      <w:r w:rsidR="0051149B" w:rsidRPr="0051149B">
        <w:rPr>
          <w:rFonts w:ascii="Times New Roman" w:eastAsia="Times New Roman" w:hAnsi="Times New Roman" w:cs="Times New Roman"/>
          <w:color w:val="000000" w:themeColor="text1"/>
          <w:sz w:val="24"/>
          <w:szCs w:val="24"/>
          <w:lang w:eastAsia="fr-FR"/>
        </w:rPr>
        <w:t>es incidences « brutes » et « résiduelles » que ce projet est susceptible d’avoir sur cette fonctionnalité écologique</w:t>
      </w:r>
      <w:r w:rsidR="00E41E3A" w:rsidRPr="00E41E3A">
        <w:rPr>
          <w:rFonts w:ascii="Times New Roman" w:eastAsia="Times New Roman" w:hAnsi="Times New Roman" w:cs="Times New Roman"/>
          <w:color w:val="000000" w:themeColor="text1"/>
          <w:sz w:val="24"/>
          <w:szCs w:val="24"/>
          <w:lang w:eastAsia="fr-FR"/>
        </w:rPr>
        <w:t xml:space="preserve">, que l’autorité environnementale soit à nouveau consultée </w:t>
      </w:r>
      <w:r w:rsidR="0051149B">
        <w:rPr>
          <w:rFonts w:ascii="Times New Roman" w:eastAsia="Times New Roman" w:hAnsi="Times New Roman" w:cs="Times New Roman"/>
          <w:color w:val="000000" w:themeColor="text1"/>
          <w:sz w:val="24"/>
          <w:szCs w:val="24"/>
          <w:lang w:eastAsia="fr-FR"/>
        </w:rPr>
        <w:t xml:space="preserve">au regard de </w:t>
      </w:r>
      <w:r w:rsidR="00E41E3A" w:rsidRPr="00E41E3A">
        <w:rPr>
          <w:rFonts w:ascii="Times New Roman" w:eastAsia="Times New Roman" w:hAnsi="Times New Roman" w:cs="Times New Roman"/>
          <w:color w:val="000000" w:themeColor="text1"/>
          <w:sz w:val="24"/>
          <w:szCs w:val="24"/>
          <w:lang w:eastAsia="fr-FR"/>
        </w:rPr>
        <w:t>cette étude complétée, que l’avis de cette autorité soit porté à la connaissance du public et que le préfet des Alpes-Maritimes statue à nouveau sur la demande de permis de construire. Dans l’hypothèse où la description complétée de ces mesures de compensation diffèrerait substantiellement de la description initiale, ou dans l’hypothèse où l’avis de l’autorité environnementale différerait substantiellement de l’avis initial sur ce point, cette régularisation implique, en outre, que le public soit à nouveau appelé à participer par l’organisation d’une enquête publique complémentaire dans les conditions posées par les dispositions des articles L. 123‑14 et R. 123‑23 du code de l’environnement, avant que le préfet des Alpes-Maritimes ne se prononce, à nouveau, sur la demande de permis de construire.</w:t>
      </w:r>
    </w:p>
    <w:p w14:paraId="032CED04" w14:textId="77777777" w:rsidR="00E41E3A" w:rsidRPr="00E41E3A" w:rsidRDefault="00E41E3A" w:rsidP="00E41E3A">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6D8D5A9A" w14:textId="05065153" w:rsidR="00E41E3A" w:rsidRPr="00E41E3A" w:rsidRDefault="00890C15" w:rsidP="00E41E3A">
      <w:pPr>
        <w:spacing w:after="0" w:line="240" w:lineRule="auto"/>
        <w:ind w:firstLine="851"/>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76</w:t>
      </w:r>
      <w:r w:rsidR="00E41E3A" w:rsidRPr="00E41E3A">
        <w:rPr>
          <w:rFonts w:ascii="Times New Roman" w:eastAsia="Times New Roman" w:hAnsi="Times New Roman" w:cs="Times New Roman"/>
          <w:color w:val="000000" w:themeColor="text1"/>
          <w:sz w:val="24"/>
          <w:szCs w:val="24"/>
          <w:lang w:eastAsia="fr-FR"/>
        </w:rPr>
        <w:t xml:space="preserve">. Les parties ayant été avisées, par </w:t>
      </w:r>
      <w:r w:rsidR="00B41327">
        <w:rPr>
          <w:rFonts w:ascii="Times New Roman" w:eastAsia="Times New Roman" w:hAnsi="Times New Roman" w:cs="Times New Roman"/>
          <w:color w:val="000000" w:themeColor="text1"/>
          <w:sz w:val="24"/>
          <w:szCs w:val="24"/>
          <w:lang w:eastAsia="fr-FR"/>
        </w:rPr>
        <w:t xml:space="preserve">un </w:t>
      </w:r>
      <w:r w:rsidR="00E41E3A" w:rsidRPr="00E41E3A">
        <w:rPr>
          <w:rFonts w:ascii="Times New Roman" w:eastAsia="Times New Roman" w:hAnsi="Times New Roman" w:cs="Times New Roman"/>
          <w:color w:val="000000" w:themeColor="text1"/>
          <w:sz w:val="24"/>
          <w:szCs w:val="24"/>
          <w:lang w:eastAsia="fr-FR"/>
        </w:rPr>
        <w:t xml:space="preserve">courrier </w:t>
      </w:r>
      <w:r w:rsidR="00E41E3A" w:rsidRPr="0051149B">
        <w:rPr>
          <w:rFonts w:ascii="Times New Roman" w:eastAsia="Times New Roman" w:hAnsi="Times New Roman" w:cs="Times New Roman"/>
          <w:color w:val="000000" w:themeColor="text1"/>
          <w:sz w:val="24"/>
          <w:szCs w:val="24"/>
          <w:lang w:eastAsia="fr-FR"/>
        </w:rPr>
        <w:t xml:space="preserve">du </w:t>
      </w:r>
      <w:r w:rsidR="0051149B" w:rsidRPr="0051149B">
        <w:rPr>
          <w:rFonts w:ascii="Times New Roman" w:eastAsia="Times New Roman" w:hAnsi="Times New Roman" w:cs="Times New Roman"/>
          <w:color w:val="000000" w:themeColor="text1"/>
          <w:sz w:val="24"/>
          <w:szCs w:val="24"/>
          <w:lang w:eastAsia="fr-FR"/>
        </w:rPr>
        <w:t>29</w:t>
      </w:r>
      <w:r w:rsidR="00E41E3A" w:rsidRPr="0051149B">
        <w:rPr>
          <w:rFonts w:ascii="Times New Roman" w:eastAsia="Times New Roman" w:hAnsi="Times New Roman" w:cs="Times New Roman"/>
          <w:color w:val="000000" w:themeColor="text1"/>
          <w:sz w:val="24"/>
          <w:szCs w:val="24"/>
          <w:lang w:eastAsia="fr-FR"/>
        </w:rPr>
        <w:t xml:space="preserve"> janvier 2025, de la possibilité de mettre en œuvre les dispositions de l’article L. 600-5-1 du code de l’urbanisme et</w:t>
      </w:r>
      <w:r w:rsidR="00E41E3A" w:rsidRPr="00E41E3A">
        <w:rPr>
          <w:rFonts w:ascii="Times New Roman" w:eastAsia="Times New Roman" w:hAnsi="Times New Roman" w:cs="Times New Roman"/>
          <w:color w:val="000000" w:themeColor="text1"/>
          <w:sz w:val="24"/>
          <w:szCs w:val="24"/>
          <w:lang w:eastAsia="fr-FR"/>
        </w:rPr>
        <w:t xml:space="preserve"> invitées à présenter leurs observations, il y a lieu, dans les circonstances de l’espèce, de surseoir à statuer sur les conclusions </w:t>
      </w:r>
      <w:r w:rsidR="00B41327">
        <w:rPr>
          <w:rFonts w:ascii="Times New Roman" w:eastAsia="Times New Roman" w:hAnsi="Times New Roman" w:cs="Times New Roman"/>
          <w:color w:val="000000" w:themeColor="text1"/>
          <w:sz w:val="24"/>
          <w:szCs w:val="24"/>
          <w:lang w:eastAsia="fr-FR"/>
        </w:rPr>
        <w:t xml:space="preserve">tendant à l’annulation de </w:t>
      </w:r>
      <w:r w:rsidR="00E41E3A" w:rsidRPr="00E41E3A">
        <w:rPr>
          <w:rFonts w:ascii="Times New Roman" w:eastAsia="Times New Roman" w:hAnsi="Times New Roman" w:cs="Times New Roman"/>
          <w:color w:val="000000" w:themeColor="text1"/>
          <w:sz w:val="24"/>
          <w:szCs w:val="24"/>
          <w:lang w:eastAsia="fr-FR"/>
        </w:rPr>
        <w:t>l’arrêté du 1</w:t>
      </w:r>
      <w:r w:rsidR="00E41E3A" w:rsidRPr="00E41E3A">
        <w:rPr>
          <w:rFonts w:ascii="Times New Roman" w:eastAsia="Times New Roman" w:hAnsi="Times New Roman" w:cs="Times New Roman"/>
          <w:color w:val="000000" w:themeColor="text1"/>
          <w:sz w:val="24"/>
          <w:szCs w:val="24"/>
          <w:vertAlign w:val="superscript"/>
          <w:lang w:eastAsia="fr-FR"/>
        </w:rPr>
        <w:t>er</w:t>
      </w:r>
      <w:r w:rsidR="00E41E3A" w:rsidRPr="00E41E3A">
        <w:rPr>
          <w:rFonts w:ascii="Times New Roman" w:eastAsia="Times New Roman" w:hAnsi="Times New Roman" w:cs="Times New Roman"/>
          <w:color w:val="000000" w:themeColor="text1"/>
          <w:sz w:val="24"/>
          <w:szCs w:val="24"/>
          <w:lang w:eastAsia="fr-FR"/>
        </w:rPr>
        <w:t xml:space="preserve"> mars 2024 et d’impartir à la SMEG un délai de dix mois à compter de la notification de ce jugement pour justifier auprès du tribunal, conformément aux modalités précédemment décrites, de l’obtention d’une mesure de nature à régulariser le</w:t>
      </w:r>
      <w:r w:rsidR="00B41327">
        <w:rPr>
          <w:rFonts w:ascii="Times New Roman" w:eastAsia="Times New Roman" w:hAnsi="Times New Roman" w:cs="Times New Roman"/>
          <w:color w:val="000000" w:themeColor="text1"/>
          <w:sz w:val="24"/>
          <w:szCs w:val="24"/>
          <w:lang w:eastAsia="fr-FR"/>
        </w:rPr>
        <w:t>s</w:t>
      </w:r>
      <w:r w:rsidR="00E41E3A" w:rsidRPr="00E41E3A">
        <w:rPr>
          <w:rFonts w:ascii="Times New Roman" w:eastAsia="Times New Roman" w:hAnsi="Times New Roman" w:cs="Times New Roman"/>
          <w:color w:val="000000" w:themeColor="text1"/>
          <w:sz w:val="24"/>
          <w:szCs w:val="24"/>
          <w:lang w:eastAsia="fr-FR"/>
        </w:rPr>
        <w:t xml:space="preserve"> vice</w:t>
      </w:r>
      <w:r w:rsidR="00B41327">
        <w:rPr>
          <w:rFonts w:ascii="Times New Roman" w:eastAsia="Times New Roman" w:hAnsi="Times New Roman" w:cs="Times New Roman"/>
          <w:color w:val="000000" w:themeColor="text1"/>
          <w:sz w:val="24"/>
          <w:szCs w:val="24"/>
          <w:lang w:eastAsia="fr-FR"/>
        </w:rPr>
        <w:t>s</w:t>
      </w:r>
      <w:r w:rsidR="00E41E3A" w:rsidRPr="00E41E3A">
        <w:rPr>
          <w:rFonts w:ascii="Times New Roman" w:eastAsia="Times New Roman" w:hAnsi="Times New Roman" w:cs="Times New Roman"/>
          <w:color w:val="000000" w:themeColor="text1"/>
          <w:sz w:val="24"/>
          <w:szCs w:val="24"/>
          <w:lang w:eastAsia="fr-FR"/>
        </w:rPr>
        <w:t xml:space="preserve"> enta</w:t>
      </w:r>
      <w:r w:rsidR="00B41327">
        <w:rPr>
          <w:rFonts w:ascii="Times New Roman" w:eastAsia="Times New Roman" w:hAnsi="Times New Roman" w:cs="Times New Roman"/>
          <w:color w:val="000000" w:themeColor="text1"/>
          <w:sz w:val="24"/>
          <w:szCs w:val="24"/>
          <w:lang w:eastAsia="fr-FR"/>
        </w:rPr>
        <w:t>chant d’illégalité ledit arrêté</w:t>
      </w:r>
      <w:r w:rsidR="00E41E3A" w:rsidRPr="00E41E3A">
        <w:rPr>
          <w:rFonts w:ascii="Times New Roman" w:eastAsia="Times New Roman" w:hAnsi="Times New Roman" w:cs="Times New Roman"/>
          <w:color w:val="000000" w:themeColor="text1"/>
          <w:sz w:val="24"/>
          <w:szCs w:val="24"/>
          <w:lang w:eastAsia="fr-FR"/>
        </w:rPr>
        <w:t>.</w:t>
      </w:r>
    </w:p>
    <w:p w14:paraId="62D9C4AD" w14:textId="251F2B3C" w:rsidR="00E41E3A" w:rsidRDefault="00E41E3A" w:rsidP="00E41E3A">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37CA5AC3" w14:textId="6908CCFE" w:rsidR="009E24C9" w:rsidRDefault="009E24C9" w:rsidP="00E41E3A">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10835FF4" w14:textId="1B04DEDF" w:rsidR="009E24C9" w:rsidRDefault="009E24C9" w:rsidP="00E41E3A">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4B84D4DB" w14:textId="77777777" w:rsidR="009E24C9" w:rsidRPr="00E41E3A" w:rsidRDefault="009E24C9" w:rsidP="009E24C9">
      <w:pPr>
        <w:spacing w:after="0" w:line="240" w:lineRule="auto"/>
        <w:jc w:val="both"/>
        <w:rPr>
          <w:rFonts w:ascii="Times New Roman" w:eastAsia="Times New Roman" w:hAnsi="Times New Roman" w:cs="Times New Roman"/>
          <w:color w:val="000000" w:themeColor="text1"/>
          <w:sz w:val="24"/>
          <w:szCs w:val="24"/>
          <w:lang w:eastAsia="fr-FR"/>
        </w:rPr>
      </w:pPr>
    </w:p>
    <w:p w14:paraId="5DC504C1" w14:textId="3DF68AC9" w:rsidR="00E41E3A" w:rsidRDefault="00E41E3A" w:rsidP="009E24C9">
      <w:pPr>
        <w:spacing w:after="0" w:line="240" w:lineRule="auto"/>
        <w:ind w:firstLine="851"/>
        <w:jc w:val="center"/>
        <w:outlineLvl w:val="0"/>
        <w:rPr>
          <w:rFonts w:ascii="Times New Roman" w:eastAsia="Times New Roman" w:hAnsi="Times New Roman" w:cs="Times New Roman"/>
          <w:color w:val="000000" w:themeColor="text1"/>
          <w:sz w:val="24"/>
          <w:szCs w:val="24"/>
          <w:lang w:val="de-DE" w:eastAsia="fr-FR"/>
        </w:rPr>
      </w:pPr>
      <w:r w:rsidRPr="00E41E3A">
        <w:rPr>
          <w:rFonts w:ascii="Times New Roman" w:eastAsia="Times New Roman" w:hAnsi="Times New Roman" w:cs="Times New Roman"/>
          <w:color w:val="000000" w:themeColor="text1"/>
          <w:sz w:val="24"/>
          <w:szCs w:val="24"/>
          <w:lang w:val="de-DE" w:eastAsia="fr-FR"/>
        </w:rPr>
        <w:t>D E C I D E :</w:t>
      </w:r>
    </w:p>
    <w:p w14:paraId="1747ACF9" w14:textId="03E9E8B5" w:rsidR="009E24C9" w:rsidRDefault="009E24C9" w:rsidP="00E41E3A">
      <w:pPr>
        <w:spacing w:after="0" w:line="240" w:lineRule="auto"/>
        <w:ind w:firstLine="851"/>
        <w:jc w:val="both"/>
        <w:rPr>
          <w:rFonts w:ascii="Times New Roman" w:eastAsia="Times New Roman" w:hAnsi="Times New Roman" w:cs="Times New Roman"/>
          <w:color w:val="000000" w:themeColor="text1"/>
          <w:sz w:val="24"/>
          <w:szCs w:val="24"/>
          <w:lang w:val="de-DE" w:eastAsia="fr-FR"/>
        </w:rPr>
      </w:pPr>
    </w:p>
    <w:p w14:paraId="3F9122F3" w14:textId="77777777" w:rsidR="009E24C9" w:rsidRPr="00E41E3A" w:rsidRDefault="009E24C9" w:rsidP="00E41E3A">
      <w:pPr>
        <w:spacing w:after="0" w:line="240" w:lineRule="auto"/>
        <w:ind w:firstLine="851"/>
        <w:jc w:val="both"/>
        <w:rPr>
          <w:rFonts w:ascii="Times New Roman" w:eastAsia="Times New Roman" w:hAnsi="Times New Roman" w:cs="Times New Roman"/>
          <w:color w:val="000000" w:themeColor="text1"/>
          <w:sz w:val="24"/>
          <w:szCs w:val="24"/>
          <w:lang w:val="de-DE" w:eastAsia="fr-FR"/>
        </w:rPr>
      </w:pPr>
    </w:p>
    <w:p w14:paraId="6A5457EC" w14:textId="18C64F8E" w:rsidR="00E41E3A" w:rsidRPr="00E41E3A" w:rsidRDefault="00E41E3A" w:rsidP="00E41E3A">
      <w:pPr>
        <w:spacing w:after="0" w:line="240" w:lineRule="auto"/>
        <w:jc w:val="both"/>
        <w:outlineLvl w:val="0"/>
        <w:rPr>
          <w:rFonts w:ascii="Times New Roman" w:eastAsia="Times New Roman" w:hAnsi="Times New Roman" w:cs="Times New Roman"/>
          <w:color w:val="000000" w:themeColor="text1"/>
          <w:sz w:val="24"/>
          <w:szCs w:val="24"/>
          <w:lang w:eastAsia="fr-FR"/>
        </w:rPr>
      </w:pPr>
      <w:r w:rsidRPr="00E41E3A">
        <w:rPr>
          <w:rFonts w:ascii="Times New Roman" w:eastAsia="Times New Roman" w:hAnsi="Times New Roman" w:cs="Times New Roman"/>
          <w:color w:val="000000" w:themeColor="text1"/>
          <w:sz w:val="24"/>
          <w:szCs w:val="24"/>
          <w:u w:val="single"/>
          <w:lang w:eastAsia="fr-FR"/>
        </w:rPr>
        <w:t>Article 1</w:t>
      </w:r>
      <w:r w:rsidRPr="00E41E3A">
        <w:rPr>
          <w:rFonts w:ascii="Times New Roman" w:eastAsia="Times New Roman" w:hAnsi="Times New Roman" w:cs="Times New Roman"/>
          <w:color w:val="000000" w:themeColor="text1"/>
          <w:sz w:val="24"/>
          <w:szCs w:val="24"/>
          <w:u w:val="single"/>
          <w:vertAlign w:val="superscript"/>
          <w:lang w:eastAsia="fr-FR"/>
        </w:rPr>
        <w:t>er</w:t>
      </w:r>
      <w:r w:rsidRPr="00E41E3A">
        <w:rPr>
          <w:rFonts w:ascii="Times New Roman" w:eastAsia="Times New Roman" w:hAnsi="Times New Roman" w:cs="Times New Roman"/>
          <w:color w:val="000000" w:themeColor="text1"/>
          <w:sz w:val="24"/>
          <w:szCs w:val="24"/>
          <w:lang w:eastAsia="fr-FR"/>
        </w:rPr>
        <w:t xml:space="preserve"> : Il est sursis à statuer sur les conclusions tendant à l’annulation de l’arrêté du </w:t>
      </w:r>
      <w:r w:rsidR="00E436D7">
        <w:rPr>
          <w:rFonts w:ascii="Times New Roman" w:eastAsia="Times New Roman" w:hAnsi="Times New Roman" w:cs="Times New Roman"/>
          <w:color w:val="000000" w:themeColor="text1"/>
          <w:sz w:val="24"/>
          <w:szCs w:val="24"/>
          <w:lang w:eastAsia="fr-FR"/>
        </w:rPr>
        <w:t xml:space="preserve">            </w:t>
      </w:r>
      <w:r w:rsidRPr="00E41E3A">
        <w:rPr>
          <w:rFonts w:ascii="Times New Roman" w:eastAsia="Times New Roman" w:hAnsi="Times New Roman" w:cs="Times New Roman"/>
          <w:color w:val="000000" w:themeColor="text1"/>
          <w:sz w:val="24"/>
          <w:szCs w:val="24"/>
          <w:lang w:eastAsia="fr-FR"/>
        </w:rPr>
        <w:t>1</w:t>
      </w:r>
      <w:r w:rsidRPr="00E41E3A">
        <w:rPr>
          <w:rFonts w:ascii="Times New Roman" w:eastAsia="Times New Roman" w:hAnsi="Times New Roman" w:cs="Times New Roman"/>
          <w:color w:val="000000" w:themeColor="text1"/>
          <w:sz w:val="24"/>
          <w:szCs w:val="24"/>
          <w:vertAlign w:val="superscript"/>
          <w:lang w:eastAsia="fr-FR"/>
        </w:rPr>
        <w:t>er</w:t>
      </w:r>
      <w:r w:rsidRPr="00E41E3A">
        <w:rPr>
          <w:rFonts w:ascii="Times New Roman" w:eastAsia="Times New Roman" w:hAnsi="Times New Roman" w:cs="Times New Roman"/>
          <w:color w:val="000000" w:themeColor="text1"/>
          <w:sz w:val="24"/>
          <w:szCs w:val="24"/>
          <w:lang w:eastAsia="fr-FR"/>
        </w:rPr>
        <w:t xml:space="preserve"> mars 2024 par lequel le préfet des Alpes-Maritimes a délivré à la SMEG un permis de construire portant sur la réalisation d’un parc photovoltaïque sur le territoire de la commune de Levens jusqu’à l’expiration du délai fixé à l’article 2 pour permettre à ladite société de justifier auprès du tribunal de l’obtention d’une mesure de nature à régulariser le</w:t>
      </w:r>
      <w:r w:rsidR="007111F8">
        <w:rPr>
          <w:rFonts w:ascii="Times New Roman" w:eastAsia="Times New Roman" w:hAnsi="Times New Roman" w:cs="Times New Roman"/>
          <w:color w:val="000000" w:themeColor="text1"/>
          <w:sz w:val="24"/>
          <w:szCs w:val="24"/>
          <w:lang w:eastAsia="fr-FR"/>
        </w:rPr>
        <w:t>s</w:t>
      </w:r>
      <w:r w:rsidRPr="00E41E3A">
        <w:rPr>
          <w:rFonts w:ascii="Times New Roman" w:eastAsia="Times New Roman" w:hAnsi="Times New Roman" w:cs="Times New Roman"/>
          <w:color w:val="000000" w:themeColor="text1"/>
          <w:sz w:val="24"/>
          <w:szCs w:val="24"/>
          <w:lang w:eastAsia="fr-FR"/>
        </w:rPr>
        <w:t xml:space="preserve"> vice</w:t>
      </w:r>
      <w:r w:rsidR="007111F8">
        <w:rPr>
          <w:rFonts w:ascii="Times New Roman" w:eastAsia="Times New Roman" w:hAnsi="Times New Roman" w:cs="Times New Roman"/>
          <w:color w:val="000000" w:themeColor="text1"/>
          <w:sz w:val="24"/>
          <w:szCs w:val="24"/>
          <w:lang w:eastAsia="fr-FR"/>
        </w:rPr>
        <w:t>s</w:t>
      </w:r>
      <w:r w:rsidRPr="00E41E3A">
        <w:rPr>
          <w:rFonts w:ascii="Times New Roman" w:eastAsia="Times New Roman" w:hAnsi="Times New Roman" w:cs="Times New Roman"/>
          <w:color w:val="000000" w:themeColor="text1"/>
          <w:sz w:val="24"/>
          <w:szCs w:val="24"/>
          <w:lang w:eastAsia="fr-FR"/>
        </w:rPr>
        <w:t xml:space="preserve"> mentionné</w:t>
      </w:r>
      <w:r w:rsidR="007111F8">
        <w:rPr>
          <w:rFonts w:ascii="Times New Roman" w:eastAsia="Times New Roman" w:hAnsi="Times New Roman" w:cs="Times New Roman"/>
          <w:color w:val="000000" w:themeColor="text1"/>
          <w:sz w:val="24"/>
          <w:szCs w:val="24"/>
          <w:lang w:eastAsia="fr-FR"/>
        </w:rPr>
        <w:t>s</w:t>
      </w:r>
      <w:r w:rsidRPr="00E41E3A">
        <w:rPr>
          <w:rFonts w:ascii="Times New Roman" w:eastAsia="Times New Roman" w:hAnsi="Times New Roman" w:cs="Times New Roman"/>
          <w:color w:val="000000" w:themeColor="text1"/>
          <w:sz w:val="24"/>
          <w:szCs w:val="24"/>
          <w:lang w:eastAsia="fr-FR"/>
        </w:rPr>
        <w:t xml:space="preserve"> au</w:t>
      </w:r>
      <w:r w:rsidR="007111F8">
        <w:rPr>
          <w:rFonts w:ascii="Times New Roman" w:eastAsia="Times New Roman" w:hAnsi="Times New Roman" w:cs="Times New Roman"/>
          <w:color w:val="000000" w:themeColor="text1"/>
          <w:sz w:val="24"/>
          <w:szCs w:val="24"/>
          <w:lang w:eastAsia="fr-FR"/>
        </w:rPr>
        <w:t>x</w:t>
      </w:r>
      <w:r w:rsidRPr="00E41E3A">
        <w:rPr>
          <w:rFonts w:ascii="Times New Roman" w:eastAsia="Times New Roman" w:hAnsi="Times New Roman" w:cs="Times New Roman"/>
          <w:color w:val="000000" w:themeColor="text1"/>
          <w:sz w:val="24"/>
          <w:szCs w:val="24"/>
          <w:lang w:eastAsia="fr-FR"/>
        </w:rPr>
        <w:t xml:space="preserve"> point</w:t>
      </w:r>
      <w:r w:rsidR="007111F8">
        <w:rPr>
          <w:rFonts w:ascii="Times New Roman" w:eastAsia="Times New Roman" w:hAnsi="Times New Roman" w:cs="Times New Roman"/>
          <w:color w:val="000000" w:themeColor="text1"/>
          <w:sz w:val="24"/>
          <w:szCs w:val="24"/>
          <w:lang w:eastAsia="fr-FR"/>
        </w:rPr>
        <w:t>s</w:t>
      </w:r>
      <w:r w:rsidRPr="00E41E3A">
        <w:rPr>
          <w:rFonts w:ascii="Times New Roman" w:eastAsia="Times New Roman" w:hAnsi="Times New Roman" w:cs="Times New Roman"/>
          <w:color w:val="000000" w:themeColor="text1"/>
          <w:sz w:val="24"/>
          <w:szCs w:val="24"/>
          <w:lang w:eastAsia="fr-FR"/>
        </w:rPr>
        <w:t xml:space="preserve"> </w:t>
      </w:r>
      <w:r w:rsidR="007111F8">
        <w:rPr>
          <w:rFonts w:ascii="Times New Roman" w:eastAsia="Times New Roman" w:hAnsi="Times New Roman" w:cs="Times New Roman"/>
          <w:color w:val="000000" w:themeColor="text1"/>
          <w:sz w:val="24"/>
          <w:szCs w:val="24"/>
          <w:lang w:eastAsia="fr-FR"/>
        </w:rPr>
        <w:t>26 à 28</w:t>
      </w:r>
      <w:r w:rsidRPr="00E41E3A">
        <w:rPr>
          <w:rFonts w:ascii="Times New Roman" w:eastAsia="Times New Roman" w:hAnsi="Times New Roman" w:cs="Times New Roman"/>
          <w:color w:val="000000" w:themeColor="text1"/>
          <w:sz w:val="24"/>
          <w:szCs w:val="24"/>
          <w:lang w:eastAsia="fr-FR"/>
        </w:rPr>
        <w:t xml:space="preserve"> de ce jugement.</w:t>
      </w:r>
    </w:p>
    <w:p w14:paraId="40BDE395" w14:textId="77777777" w:rsidR="00E41E3A" w:rsidRPr="00E41E3A" w:rsidRDefault="00E41E3A" w:rsidP="00E41E3A">
      <w:pPr>
        <w:spacing w:after="0" w:line="240" w:lineRule="auto"/>
        <w:jc w:val="both"/>
        <w:outlineLvl w:val="0"/>
        <w:rPr>
          <w:rFonts w:ascii="Times New Roman" w:eastAsia="Times New Roman" w:hAnsi="Times New Roman" w:cs="Times New Roman"/>
          <w:color w:val="000000" w:themeColor="text1"/>
          <w:sz w:val="24"/>
          <w:szCs w:val="24"/>
          <w:lang w:eastAsia="fr-FR"/>
        </w:rPr>
      </w:pPr>
    </w:p>
    <w:p w14:paraId="4FD0A5B7" w14:textId="77777777" w:rsidR="00E41E3A" w:rsidRPr="00E41E3A" w:rsidRDefault="00E41E3A" w:rsidP="00E41E3A">
      <w:pPr>
        <w:spacing w:after="0" w:line="240" w:lineRule="auto"/>
        <w:jc w:val="both"/>
        <w:outlineLvl w:val="0"/>
        <w:rPr>
          <w:rFonts w:ascii="Times New Roman" w:eastAsia="Times New Roman" w:hAnsi="Times New Roman" w:cs="Times New Roman"/>
          <w:color w:val="000000" w:themeColor="text1"/>
          <w:sz w:val="24"/>
          <w:szCs w:val="24"/>
          <w:lang w:eastAsia="fr-FR"/>
        </w:rPr>
      </w:pPr>
      <w:r w:rsidRPr="00E41E3A">
        <w:rPr>
          <w:rFonts w:ascii="Times New Roman" w:eastAsia="Times New Roman" w:hAnsi="Times New Roman" w:cs="Times New Roman"/>
          <w:color w:val="000000" w:themeColor="text1"/>
          <w:sz w:val="24"/>
          <w:szCs w:val="24"/>
          <w:u w:val="single"/>
          <w:lang w:eastAsia="fr-FR"/>
        </w:rPr>
        <w:t>Article 2</w:t>
      </w:r>
      <w:r w:rsidRPr="00E41E3A">
        <w:rPr>
          <w:rFonts w:ascii="Times New Roman" w:eastAsia="Times New Roman" w:hAnsi="Times New Roman" w:cs="Times New Roman"/>
          <w:color w:val="000000" w:themeColor="text1"/>
          <w:sz w:val="24"/>
          <w:szCs w:val="24"/>
          <w:lang w:eastAsia="fr-FR"/>
        </w:rPr>
        <w:t> : Le délai dans lequel la régularisation de l’arrêté du 1</w:t>
      </w:r>
      <w:r w:rsidRPr="00E41E3A">
        <w:rPr>
          <w:rFonts w:ascii="Times New Roman" w:eastAsia="Times New Roman" w:hAnsi="Times New Roman" w:cs="Times New Roman"/>
          <w:color w:val="000000" w:themeColor="text1"/>
          <w:sz w:val="24"/>
          <w:szCs w:val="24"/>
          <w:vertAlign w:val="superscript"/>
          <w:lang w:eastAsia="fr-FR"/>
        </w:rPr>
        <w:t>er</w:t>
      </w:r>
      <w:r w:rsidRPr="00E41E3A">
        <w:rPr>
          <w:rFonts w:ascii="Times New Roman" w:eastAsia="Times New Roman" w:hAnsi="Times New Roman" w:cs="Times New Roman"/>
          <w:color w:val="000000" w:themeColor="text1"/>
          <w:sz w:val="24"/>
          <w:szCs w:val="24"/>
          <w:lang w:eastAsia="fr-FR"/>
        </w:rPr>
        <w:t xml:space="preserve"> mars 2024 doit être notifiée au tribunal est fixé à dix mois à compter de la notification de ce jugement.</w:t>
      </w:r>
    </w:p>
    <w:p w14:paraId="12724E7A" w14:textId="77777777" w:rsidR="00E41E3A" w:rsidRPr="00E41E3A" w:rsidRDefault="00E41E3A" w:rsidP="00E41E3A">
      <w:pPr>
        <w:spacing w:after="0" w:line="240" w:lineRule="auto"/>
        <w:jc w:val="both"/>
        <w:outlineLvl w:val="0"/>
        <w:rPr>
          <w:rFonts w:ascii="Times New Roman" w:eastAsia="Times New Roman" w:hAnsi="Times New Roman" w:cs="Times New Roman"/>
          <w:color w:val="000000" w:themeColor="text1"/>
          <w:sz w:val="24"/>
          <w:szCs w:val="24"/>
          <w:lang w:eastAsia="fr-FR"/>
        </w:rPr>
      </w:pPr>
      <w:r w:rsidRPr="00E41E3A">
        <w:rPr>
          <w:rFonts w:ascii="Times New Roman" w:eastAsia="Times New Roman" w:hAnsi="Times New Roman" w:cs="Times New Roman"/>
          <w:color w:val="000000" w:themeColor="text1"/>
          <w:sz w:val="24"/>
          <w:szCs w:val="24"/>
          <w:lang w:eastAsia="fr-FR"/>
        </w:rPr>
        <w:t> </w:t>
      </w:r>
    </w:p>
    <w:p w14:paraId="46394E80" w14:textId="77777777" w:rsidR="00E41E3A" w:rsidRPr="00E41E3A" w:rsidRDefault="00E41E3A" w:rsidP="00E41E3A">
      <w:pPr>
        <w:spacing w:after="0" w:line="240" w:lineRule="auto"/>
        <w:jc w:val="both"/>
        <w:outlineLvl w:val="0"/>
        <w:rPr>
          <w:rFonts w:ascii="Times New Roman" w:eastAsia="Times New Roman" w:hAnsi="Times New Roman" w:cs="Times New Roman"/>
          <w:color w:val="000000" w:themeColor="text1"/>
          <w:sz w:val="24"/>
          <w:szCs w:val="24"/>
          <w:lang w:eastAsia="fr-FR"/>
        </w:rPr>
      </w:pPr>
      <w:r w:rsidRPr="00E41E3A">
        <w:rPr>
          <w:rFonts w:ascii="Times New Roman" w:eastAsia="Times New Roman" w:hAnsi="Times New Roman" w:cs="Times New Roman"/>
          <w:color w:val="000000" w:themeColor="text1"/>
          <w:sz w:val="24"/>
          <w:szCs w:val="24"/>
          <w:u w:val="single"/>
          <w:lang w:eastAsia="fr-FR"/>
        </w:rPr>
        <w:t>Article 3</w:t>
      </w:r>
      <w:r w:rsidRPr="00E41E3A">
        <w:rPr>
          <w:rFonts w:ascii="Times New Roman" w:eastAsia="Times New Roman" w:hAnsi="Times New Roman" w:cs="Times New Roman"/>
          <w:color w:val="000000" w:themeColor="text1"/>
          <w:sz w:val="24"/>
          <w:szCs w:val="24"/>
          <w:lang w:eastAsia="fr-FR"/>
        </w:rPr>
        <w:t> : Tous droits et moyens des parties sur lesquels il n’est pas expressément statué par ce jugement sont réservés jusqu’en fin d’instance.</w:t>
      </w:r>
    </w:p>
    <w:p w14:paraId="1F855679" w14:textId="77777777" w:rsidR="00E41E3A" w:rsidRPr="00E41E3A" w:rsidRDefault="00E41E3A" w:rsidP="00E41E3A">
      <w:pPr>
        <w:spacing w:after="0" w:line="240" w:lineRule="auto"/>
        <w:jc w:val="both"/>
        <w:outlineLvl w:val="0"/>
        <w:rPr>
          <w:rFonts w:ascii="Times New Roman" w:eastAsia="Times New Roman" w:hAnsi="Times New Roman" w:cs="Times New Roman"/>
          <w:color w:val="000000" w:themeColor="text1"/>
          <w:sz w:val="24"/>
          <w:szCs w:val="24"/>
          <w:lang w:eastAsia="fr-FR"/>
        </w:rPr>
      </w:pPr>
      <w:r w:rsidRPr="00E41E3A">
        <w:rPr>
          <w:rFonts w:ascii="Times New Roman" w:eastAsia="Times New Roman" w:hAnsi="Times New Roman" w:cs="Times New Roman"/>
          <w:color w:val="000000" w:themeColor="text1"/>
          <w:sz w:val="24"/>
          <w:szCs w:val="24"/>
          <w:lang w:eastAsia="fr-FR"/>
        </w:rPr>
        <w:lastRenderedPageBreak/>
        <w:t> </w:t>
      </w:r>
    </w:p>
    <w:p w14:paraId="59532EDB" w14:textId="6B6DC821" w:rsidR="00E41E3A" w:rsidRPr="00E41E3A" w:rsidRDefault="00E41E3A" w:rsidP="00E41E3A">
      <w:pPr>
        <w:spacing w:after="0" w:line="240" w:lineRule="auto"/>
        <w:jc w:val="both"/>
        <w:outlineLvl w:val="0"/>
        <w:rPr>
          <w:rFonts w:ascii="Times New Roman" w:eastAsia="Times New Roman" w:hAnsi="Times New Roman" w:cs="Times New Roman"/>
          <w:color w:val="000000" w:themeColor="text1"/>
          <w:sz w:val="24"/>
          <w:szCs w:val="24"/>
          <w:lang w:eastAsia="fr-FR"/>
        </w:rPr>
      </w:pPr>
      <w:r w:rsidRPr="00E41E3A">
        <w:rPr>
          <w:rFonts w:ascii="Times New Roman" w:eastAsia="Times New Roman" w:hAnsi="Times New Roman" w:cs="Times New Roman"/>
          <w:color w:val="000000" w:themeColor="text1"/>
          <w:sz w:val="24"/>
          <w:szCs w:val="24"/>
          <w:u w:val="single"/>
          <w:lang w:eastAsia="fr-FR"/>
        </w:rPr>
        <w:t>Article 4</w:t>
      </w:r>
      <w:r w:rsidRPr="00E41E3A">
        <w:rPr>
          <w:rFonts w:ascii="Times New Roman" w:eastAsia="Times New Roman" w:hAnsi="Times New Roman" w:cs="Times New Roman"/>
          <w:color w:val="000000" w:themeColor="text1"/>
          <w:sz w:val="24"/>
          <w:szCs w:val="24"/>
          <w:lang w:eastAsia="fr-FR"/>
        </w:rPr>
        <w:t xml:space="preserve"> : Le présent jugement sera notifié à </w:t>
      </w:r>
      <w:r w:rsidR="007111F8" w:rsidRPr="007111F8">
        <w:rPr>
          <w:rFonts w:ascii="Times New Roman" w:eastAsia="Times New Roman" w:hAnsi="Times New Roman" w:cs="Times New Roman"/>
          <w:color w:val="000000" w:themeColor="text1"/>
          <w:sz w:val="24"/>
          <w:szCs w:val="24"/>
          <w:lang w:eastAsia="fr-FR"/>
        </w:rPr>
        <w:t>la délégation de la région Provence-Alpes-Côte d’Azur de la ligue pour la protection des oiseaux</w:t>
      </w:r>
      <w:r w:rsidRPr="00E41E3A">
        <w:rPr>
          <w:rFonts w:ascii="Times New Roman" w:eastAsia="Times New Roman" w:hAnsi="Times New Roman" w:cs="Times New Roman"/>
          <w:color w:val="000000" w:themeColor="text1"/>
          <w:sz w:val="24"/>
          <w:szCs w:val="24"/>
          <w:lang w:eastAsia="fr-FR"/>
        </w:rPr>
        <w:t xml:space="preserve">, à la société monégasque de l’électricité et du gaz et à la ministre de la transition écologique, de la biodiversité, de la forêt, de la mer et de la pêche. </w:t>
      </w:r>
    </w:p>
    <w:p w14:paraId="15F750C0" w14:textId="77777777" w:rsidR="0049694A" w:rsidRPr="0049694A" w:rsidRDefault="0049694A" w:rsidP="0049694A">
      <w:pPr>
        <w:spacing w:after="0" w:line="240" w:lineRule="auto"/>
        <w:jc w:val="both"/>
        <w:outlineLvl w:val="0"/>
        <w:rPr>
          <w:rFonts w:ascii="Times New Roman" w:eastAsia="Times New Roman" w:hAnsi="Times New Roman" w:cs="Times New Roman"/>
          <w:color w:val="000000" w:themeColor="text1"/>
          <w:sz w:val="24"/>
          <w:szCs w:val="24"/>
          <w:lang w:eastAsia="fr-FR"/>
        </w:rPr>
      </w:pPr>
    </w:p>
    <w:p w14:paraId="4BE19849" w14:textId="77777777" w:rsidR="0049694A" w:rsidRPr="0049694A" w:rsidRDefault="0049694A" w:rsidP="0049694A">
      <w:pPr>
        <w:spacing w:after="0" w:line="240" w:lineRule="auto"/>
        <w:jc w:val="both"/>
        <w:outlineLvl w:val="0"/>
        <w:rPr>
          <w:rFonts w:ascii="Times New Roman" w:eastAsia="Times New Roman" w:hAnsi="Times New Roman" w:cs="Times New Roman"/>
          <w:color w:val="000000" w:themeColor="text1"/>
          <w:sz w:val="24"/>
          <w:szCs w:val="24"/>
          <w:lang w:eastAsia="fr-FR"/>
        </w:rPr>
      </w:pPr>
      <w:proofErr w:type="gramStart"/>
      <w:r w:rsidRPr="0049694A">
        <w:rPr>
          <w:rFonts w:ascii="Times New Roman" w:eastAsia="Times New Roman" w:hAnsi="Times New Roman" w:cs="Times New Roman"/>
          <w:color w:val="000000" w:themeColor="text1"/>
          <w:sz w:val="24"/>
          <w:szCs w:val="24"/>
          <w:lang w:eastAsia="fr-FR"/>
        </w:rPr>
        <w:t>Copie en</w:t>
      </w:r>
      <w:proofErr w:type="gramEnd"/>
      <w:r w:rsidRPr="0049694A">
        <w:rPr>
          <w:rFonts w:ascii="Times New Roman" w:eastAsia="Times New Roman" w:hAnsi="Times New Roman" w:cs="Times New Roman"/>
          <w:color w:val="000000" w:themeColor="text1"/>
          <w:sz w:val="24"/>
          <w:szCs w:val="24"/>
          <w:lang w:eastAsia="fr-FR"/>
        </w:rPr>
        <w:t xml:space="preserve"> sera adressée au préfet des Alpes-Maritimes et à la commune de Levens. </w:t>
      </w:r>
    </w:p>
    <w:p w14:paraId="289C0DC0" w14:textId="77777777" w:rsidR="0049694A" w:rsidRPr="0049694A" w:rsidRDefault="0049694A" w:rsidP="0049694A">
      <w:pPr>
        <w:shd w:val="clear" w:color="auto" w:fill="FFFFFF"/>
        <w:spacing w:after="0" w:line="240" w:lineRule="auto"/>
        <w:jc w:val="both"/>
        <w:rPr>
          <w:rFonts w:ascii="Times New Roman" w:eastAsia="Times New Roman" w:hAnsi="Times New Roman" w:cs="Times New Roman"/>
          <w:sz w:val="24"/>
          <w:szCs w:val="24"/>
          <w:lang w:eastAsia="fr-FR"/>
        </w:rPr>
      </w:pPr>
    </w:p>
    <w:p w14:paraId="05C84171" w14:textId="70D095CA" w:rsidR="0049694A" w:rsidRDefault="0049694A" w:rsidP="0049694A">
      <w:pPr>
        <w:spacing w:after="0" w:line="240" w:lineRule="auto"/>
        <w:ind w:firstLine="851"/>
        <w:rPr>
          <w:rFonts w:ascii="Times New Roman" w:eastAsia="Times New Roman" w:hAnsi="Times New Roman" w:cs="Times New Roman"/>
          <w:sz w:val="24"/>
          <w:szCs w:val="24"/>
          <w:lang w:eastAsia="fr-FR"/>
        </w:rPr>
      </w:pPr>
      <w:r w:rsidRPr="0049694A">
        <w:rPr>
          <w:rFonts w:ascii="Times New Roman" w:eastAsia="Times New Roman" w:hAnsi="Times New Roman" w:cs="Times New Roman"/>
          <w:sz w:val="24"/>
          <w:szCs w:val="24"/>
          <w:lang w:eastAsia="fr-FR"/>
        </w:rPr>
        <w:t>Délibéré après l'audience du 6 février 2025, à laquelle siégeaient :</w:t>
      </w:r>
    </w:p>
    <w:p w14:paraId="0D0F48EB" w14:textId="77777777" w:rsidR="00E436D7" w:rsidRPr="0049694A" w:rsidRDefault="00E436D7" w:rsidP="0049694A">
      <w:pPr>
        <w:spacing w:after="0" w:line="240" w:lineRule="auto"/>
        <w:ind w:firstLine="851"/>
        <w:rPr>
          <w:rFonts w:ascii="Times New Roman" w:eastAsia="Times New Roman" w:hAnsi="Times New Roman" w:cs="Times New Roman"/>
          <w:sz w:val="24"/>
          <w:szCs w:val="24"/>
          <w:lang w:eastAsia="fr-FR"/>
        </w:rPr>
      </w:pPr>
    </w:p>
    <w:p w14:paraId="6E83327D" w14:textId="77777777" w:rsidR="0049694A" w:rsidRPr="0049694A" w:rsidRDefault="0049694A" w:rsidP="0049694A">
      <w:pPr>
        <w:spacing w:after="0" w:line="240" w:lineRule="auto"/>
        <w:ind w:firstLine="851"/>
        <w:rPr>
          <w:rFonts w:ascii="Times New Roman" w:eastAsia="Times New Roman" w:hAnsi="Times New Roman" w:cs="Times New Roman"/>
          <w:sz w:val="24"/>
          <w:szCs w:val="24"/>
          <w:lang w:eastAsia="fr-FR"/>
        </w:rPr>
      </w:pPr>
      <w:r w:rsidRPr="0049694A">
        <w:rPr>
          <w:rFonts w:ascii="Times New Roman" w:eastAsia="Times New Roman" w:hAnsi="Times New Roman" w:cs="Times New Roman"/>
          <w:sz w:val="24"/>
          <w:szCs w:val="24"/>
          <w:lang w:eastAsia="fr-FR"/>
        </w:rPr>
        <w:t xml:space="preserve">M. </w:t>
      </w:r>
      <w:proofErr w:type="spellStart"/>
      <w:r w:rsidRPr="0049694A">
        <w:rPr>
          <w:rFonts w:ascii="Times New Roman" w:eastAsia="Times New Roman" w:hAnsi="Times New Roman" w:cs="Times New Roman"/>
          <w:sz w:val="24"/>
          <w:szCs w:val="24"/>
          <w:lang w:eastAsia="fr-FR"/>
        </w:rPr>
        <w:t>Silvestre-Toussaint-Fortesa</w:t>
      </w:r>
      <w:proofErr w:type="spellEnd"/>
      <w:r w:rsidRPr="0049694A">
        <w:rPr>
          <w:rFonts w:ascii="Times New Roman" w:eastAsia="Times New Roman" w:hAnsi="Times New Roman" w:cs="Times New Roman"/>
          <w:sz w:val="24"/>
          <w:szCs w:val="24"/>
          <w:lang w:eastAsia="fr-FR"/>
        </w:rPr>
        <w:t xml:space="preserve">, président, </w:t>
      </w:r>
    </w:p>
    <w:p w14:paraId="3A34C638" w14:textId="77777777" w:rsidR="0049694A" w:rsidRPr="0049694A" w:rsidRDefault="0049694A" w:rsidP="0049694A">
      <w:pPr>
        <w:spacing w:after="0" w:line="240" w:lineRule="auto"/>
        <w:ind w:left="143" w:firstLine="708"/>
        <w:rPr>
          <w:rFonts w:ascii="Times New Roman" w:eastAsia="Calibri" w:hAnsi="Times New Roman" w:cs="Times New Roman"/>
          <w:sz w:val="24"/>
          <w:szCs w:val="24"/>
          <w:lang w:eastAsia="fr-FR"/>
        </w:rPr>
      </w:pPr>
      <w:r w:rsidRPr="0049694A">
        <w:rPr>
          <w:rFonts w:ascii="Times New Roman" w:eastAsia="Times New Roman" w:hAnsi="Times New Roman" w:cs="Times New Roman"/>
          <w:sz w:val="24"/>
          <w:szCs w:val="24"/>
          <w:lang w:eastAsia="fr-FR"/>
        </w:rPr>
        <w:t xml:space="preserve">Mme </w:t>
      </w:r>
      <w:proofErr w:type="spellStart"/>
      <w:r w:rsidRPr="0049694A">
        <w:rPr>
          <w:rFonts w:ascii="Times New Roman" w:eastAsia="Times New Roman" w:hAnsi="Times New Roman" w:cs="Times New Roman"/>
          <w:sz w:val="24"/>
          <w:szCs w:val="24"/>
          <w:lang w:eastAsia="fr-FR"/>
        </w:rPr>
        <w:t>Cueilleron</w:t>
      </w:r>
      <w:proofErr w:type="spellEnd"/>
      <w:r w:rsidRPr="0049694A">
        <w:rPr>
          <w:rFonts w:ascii="Times New Roman" w:eastAsia="Times New Roman" w:hAnsi="Times New Roman" w:cs="Times New Roman"/>
          <w:sz w:val="24"/>
          <w:szCs w:val="24"/>
          <w:lang w:eastAsia="fr-FR"/>
        </w:rPr>
        <w:t>, conseillère,</w:t>
      </w:r>
      <w:r w:rsidRPr="0049694A">
        <w:rPr>
          <w:rFonts w:ascii="Times New Roman" w:eastAsia="Calibri" w:hAnsi="Times New Roman" w:cs="Times New Roman"/>
          <w:sz w:val="24"/>
          <w:szCs w:val="24"/>
          <w:lang w:eastAsia="fr-FR"/>
        </w:rPr>
        <w:t xml:space="preserve"> </w:t>
      </w:r>
    </w:p>
    <w:p w14:paraId="15A51FE6" w14:textId="77777777" w:rsidR="0049694A" w:rsidRPr="0049694A" w:rsidRDefault="0049694A" w:rsidP="0049694A">
      <w:pPr>
        <w:spacing w:after="0" w:line="240" w:lineRule="auto"/>
        <w:ind w:left="143" w:firstLine="708"/>
        <w:rPr>
          <w:rFonts w:ascii="Times New Roman" w:eastAsia="Calibri" w:hAnsi="Times New Roman" w:cs="Times New Roman"/>
          <w:sz w:val="24"/>
          <w:szCs w:val="24"/>
          <w:lang w:eastAsia="fr-FR"/>
        </w:rPr>
      </w:pPr>
      <w:r w:rsidRPr="0049694A">
        <w:rPr>
          <w:rFonts w:ascii="Times New Roman" w:eastAsia="Calibri" w:hAnsi="Times New Roman" w:cs="Times New Roman"/>
          <w:sz w:val="24"/>
          <w:szCs w:val="24"/>
          <w:lang w:eastAsia="fr-FR"/>
        </w:rPr>
        <w:t xml:space="preserve">M. </w:t>
      </w:r>
      <w:proofErr w:type="spellStart"/>
      <w:r w:rsidRPr="0049694A">
        <w:rPr>
          <w:rFonts w:ascii="Times New Roman" w:eastAsia="Calibri" w:hAnsi="Times New Roman" w:cs="Times New Roman"/>
          <w:sz w:val="24"/>
          <w:szCs w:val="24"/>
          <w:lang w:eastAsia="fr-FR"/>
        </w:rPr>
        <w:t>Bulit</w:t>
      </w:r>
      <w:proofErr w:type="spellEnd"/>
      <w:r w:rsidRPr="0049694A">
        <w:rPr>
          <w:rFonts w:ascii="Times New Roman" w:eastAsia="Calibri" w:hAnsi="Times New Roman" w:cs="Times New Roman"/>
          <w:sz w:val="24"/>
          <w:szCs w:val="24"/>
          <w:lang w:eastAsia="fr-FR"/>
        </w:rPr>
        <w:t xml:space="preserve">, conseiller, </w:t>
      </w:r>
    </w:p>
    <w:p w14:paraId="7AC56DF4" w14:textId="77777777" w:rsidR="0049694A" w:rsidRPr="0049694A" w:rsidRDefault="0049694A" w:rsidP="0049694A">
      <w:pPr>
        <w:spacing w:after="0" w:line="240" w:lineRule="auto"/>
        <w:ind w:firstLine="851"/>
        <w:rPr>
          <w:rFonts w:ascii="Times New Roman" w:eastAsia="Times New Roman" w:hAnsi="Times New Roman" w:cs="Times New Roman"/>
          <w:sz w:val="24"/>
          <w:szCs w:val="24"/>
          <w:lang w:eastAsia="fr-FR"/>
        </w:rPr>
      </w:pPr>
      <w:r w:rsidRPr="0049694A">
        <w:rPr>
          <w:rFonts w:ascii="Times New Roman" w:eastAsia="Times New Roman" w:hAnsi="Times New Roman" w:cs="Times New Roman"/>
          <w:sz w:val="24"/>
          <w:szCs w:val="24"/>
          <w:lang w:eastAsia="fr-FR"/>
        </w:rPr>
        <w:t xml:space="preserve">Assistés de Mme </w:t>
      </w:r>
      <w:proofErr w:type="spellStart"/>
      <w:r w:rsidRPr="0049694A">
        <w:rPr>
          <w:rFonts w:ascii="Times New Roman" w:eastAsia="Times New Roman" w:hAnsi="Times New Roman" w:cs="Times New Roman"/>
          <w:sz w:val="24"/>
          <w:szCs w:val="24"/>
          <w:lang w:eastAsia="fr-FR"/>
        </w:rPr>
        <w:t>Pagnotta</w:t>
      </w:r>
      <w:proofErr w:type="spellEnd"/>
      <w:r w:rsidRPr="0049694A">
        <w:rPr>
          <w:rFonts w:ascii="Times New Roman" w:eastAsia="Times New Roman" w:hAnsi="Times New Roman" w:cs="Times New Roman"/>
          <w:sz w:val="24"/>
          <w:szCs w:val="24"/>
          <w:lang w:eastAsia="fr-FR"/>
        </w:rPr>
        <w:t>, greffière.</w:t>
      </w:r>
    </w:p>
    <w:p w14:paraId="03181AB6" w14:textId="77777777" w:rsidR="0049694A" w:rsidRPr="0049694A" w:rsidRDefault="0049694A" w:rsidP="0049694A">
      <w:pPr>
        <w:spacing w:after="0" w:line="240" w:lineRule="auto"/>
        <w:jc w:val="both"/>
        <w:rPr>
          <w:rFonts w:ascii="Times New Roman" w:eastAsia="Times New Roman" w:hAnsi="Times New Roman" w:cs="Times New Roman"/>
          <w:sz w:val="24"/>
          <w:szCs w:val="24"/>
          <w:lang w:eastAsia="fr-FR"/>
        </w:rPr>
      </w:pPr>
    </w:p>
    <w:p w14:paraId="4EC56F57" w14:textId="6BC8A92C" w:rsidR="0049694A" w:rsidRPr="0049694A" w:rsidRDefault="0049694A" w:rsidP="0049694A">
      <w:pPr>
        <w:spacing w:after="0" w:line="240" w:lineRule="auto"/>
        <w:ind w:firstLine="851"/>
        <w:jc w:val="both"/>
        <w:outlineLvl w:val="0"/>
        <w:rPr>
          <w:rFonts w:ascii="Times New Roman" w:eastAsia="Times New Roman" w:hAnsi="Times New Roman" w:cs="Times New Roman"/>
          <w:sz w:val="24"/>
          <w:szCs w:val="24"/>
          <w:lang w:eastAsia="fr-FR"/>
        </w:rPr>
      </w:pPr>
      <w:r w:rsidRPr="0049694A">
        <w:rPr>
          <w:rFonts w:ascii="Times New Roman" w:eastAsia="Times New Roman" w:hAnsi="Times New Roman" w:cs="Times New Roman"/>
          <w:sz w:val="24"/>
          <w:szCs w:val="24"/>
          <w:lang w:eastAsia="fr-FR"/>
        </w:rPr>
        <w:t>Rendu public par mis</w:t>
      </w:r>
      <w:r w:rsidR="00E436D7">
        <w:rPr>
          <w:rFonts w:ascii="Times New Roman" w:eastAsia="Times New Roman" w:hAnsi="Times New Roman" w:cs="Times New Roman"/>
          <w:sz w:val="24"/>
          <w:szCs w:val="24"/>
          <w:lang w:eastAsia="fr-FR"/>
        </w:rPr>
        <w:t>e à disposition au greffe, le 28</w:t>
      </w:r>
      <w:r w:rsidRPr="0049694A">
        <w:rPr>
          <w:rFonts w:ascii="Times New Roman" w:eastAsia="Times New Roman" w:hAnsi="Times New Roman" w:cs="Times New Roman"/>
          <w:sz w:val="24"/>
          <w:szCs w:val="24"/>
          <w:lang w:eastAsia="fr-FR"/>
        </w:rPr>
        <w:t xml:space="preserve"> février 2025. </w:t>
      </w:r>
    </w:p>
    <w:p w14:paraId="074D316E" w14:textId="77777777" w:rsidR="0049694A" w:rsidRPr="0049694A" w:rsidRDefault="0049694A" w:rsidP="0049694A">
      <w:pPr>
        <w:spacing w:after="0" w:line="240" w:lineRule="auto"/>
        <w:jc w:val="both"/>
        <w:rPr>
          <w:rFonts w:ascii="Times New Roman" w:eastAsia="Times New Roman" w:hAnsi="Times New Roman" w:cs="Times New Roman"/>
          <w:sz w:val="24"/>
          <w:szCs w:val="24"/>
          <w:lang w:eastAsia="fr-FR"/>
        </w:rPr>
      </w:pPr>
    </w:p>
    <w:tbl>
      <w:tblPr>
        <w:tblW w:w="10651" w:type="dxa"/>
        <w:tblInd w:w="-284" w:type="dxa"/>
        <w:tblCellMar>
          <w:left w:w="70" w:type="dxa"/>
          <w:right w:w="70" w:type="dxa"/>
        </w:tblCellMar>
        <w:tblLook w:val="04A0" w:firstRow="1" w:lastRow="0" w:firstColumn="1" w:lastColumn="0" w:noHBand="0" w:noVBand="1"/>
      </w:tblPr>
      <w:tblGrid>
        <w:gridCol w:w="3828"/>
        <w:gridCol w:w="3270"/>
        <w:gridCol w:w="3553"/>
      </w:tblGrid>
      <w:tr w:rsidR="0049694A" w:rsidRPr="0049694A" w14:paraId="6FA421E3" w14:textId="77777777" w:rsidTr="0049694A">
        <w:tc>
          <w:tcPr>
            <w:tcW w:w="3828" w:type="dxa"/>
          </w:tcPr>
          <w:p w14:paraId="376E04C1" w14:textId="77777777" w:rsidR="0049694A" w:rsidRPr="0049694A" w:rsidRDefault="0049694A" w:rsidP="0049694A">
            <w:pPr>
              <w:spacing w:after="0" w:line="240" w:lineRule="auto"/>
              <w:jc w:val="both"/>
              <w:rPr>
                <w:rFonts w:ascii="Times New Roman" w:eastAsia="Times New Roman" w:hAnsi="Times New Roman" w:cs="Times New Roman"/>
                <w:sz w:val="24"/>
                <w:szCs w:val="24"/>
                <w:lang w:eastAsia="fr-FR"/>
              </w:rPr>
            </w:pPr>
          </w:p>
          <w:p w14:paraId="12B93802" w14:textId="77777777" w:rsidR="0049694A" w:rsidRPr="0049694A" w:rsidRDefault="0049694A" w:rsidP="0049694A">
            <w:pPr>
              <w:spacing w:after="0" w:line="240" w:lineRule="auto"/>
              <w:ind w:firstLine="851"/>
              <w:rPr>
                <w:rFonts w:ascii="Times New Roman" w:eastAsia="Times New Roman" w:hAnsi="Times New Roman" w:cs="Times New Roman"/>
                <w:sz w:val="24"/>
                <w:szCs w:val="24"/>
                <w:lang w:eastAsia="fr-FR"/>
              </w:rPr>
            </w:pPr>
            <w:r w:rsidRPr="0049694A">
              <w:rPr>
                <w:rFonts w:ascii="Times New Roman" w:eastAsia="Times New Roman" w:hAnsi="Times New Roman" w:cs="Times New Roman"/>
                <w:sz w:val="24"/>
                <w:szCs w:val="24"/>
                <w:lang w:eastAsia="fr-FR"/>
              </w:rPr>
              <w:t xml:space="preserve"> Le président-rapporteur,</w:t>
            </w:r>
          </w:p>
          <w:p w14:paraId="66A65AAC" w14:textId="77777777" w:rsidR="0049694A" w:rsidRPr="0049694A" w:rsidRDefault="0049694A" w:rsidP="0049694A">
            <w:pPr>
              <w:spacing w:after="0" w:line="240" w:lineRule="auto"/>
              <w:rPr>
                <w:rFonts w:ascii="Times New Roman" w:eastAsia="Times New Roman" w:hAnsi="Times New Roman" w:cs="Times New Roman"/>
                <w:sz w:val="24"/>
                <w:szCs w:val="24"/>
                <w:lang w:eastAsia="fr-FR"/>
              </w:rPr>
            </w:pPr>
          </w:p>
          <w:p w14:paraId="476DD818" w14:textId="77777777" w:rsidR="0049694A" w:rsidRPr="0049694A" w:rsidRDefault="0049694A" w:rsidP="0049694A">
            <w:pPr>
              <w:spacing w:after="0" w:line="240" w:lineRule="auto"/>
              <w:rPr>
                <w:rFonts w:ascii="Times New Roman" w:eastAsia="Times New Roman" w:hAnsi="Times New Roman" w:cs="Times New Roman"/>
                <w:sz w:val="24"/>
                <w:szCs w:val="24"/>
                <w:lang w:eastAsia="fr-FR"/>
              </w:rPr>
            </w:pPr>
          </w:p>
          <w:p w14:paraId="5C07EB4E" w14:textId="1444CAB2" w:rsidR="0049694A" w:rsidRPr="0049694A" w:rsidRDefault="00382111" w:rsidP="0049694A">
            <w:pPr>
              <w:spacing w:after="0" w:line="240" w:lineRule="auto"/>
              <w:ind w:firstLine="851"/>
              <w:jc w:val="center"/>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signé</w:t>
            </w:r>
            <w:proofErr w:type="gramEnd"/>
          </w:p>
          <w:p w14:paraId="36DB0054" w14:textId="77777777" w:rsidR="0049694A" w:rsidRPr="0049694A" w:rsidRDefault="0049694A" w:rsidP="0049694A">
            <w:pPr>
              <w:spacing w:after="0" w:line="240" w:lineRule="auto"/>
              <w:rPr>
                <w:rFonts w:ascii="Times New Roman" w:eastAsia="Times New Roman" w:hAnsi="Times New Roman" w:cs="Times New Roman"/>
                <w:sz w:val="24"/>
                <w:szCs w:val="24"/>
                <w:lang w:eastAsia="fr-FR"/>
              </w:rPr>
            </w:pPr>
            <w:r w:rsidRPr="0049694A">
              <w:rPr>
                <w:rFonts w:ascii="Times New Roman" w:eastAsia="Times New Roman" w:hAnsi="Times New Roman" w:cs="Times New Roman"/>
                <w:sz w:val="24"/>
                <w:szCs w:val="24"/>
                <w:lang w:eastAsia="fr-FR"/>
              </w:rPr>
              <w:t xml:space="preserve">            F. </w:t>
            </w:r>
            <w:proofErr w:type="spellStart"/>
            <w:r w:rsidRPr="0049694A">
              <w:rPr>
                <w:rFonts w:ascii="Times New Roman" w:eastAsia="Times New Roman" w:hAnsi="Times New Roman" w:cs="Times New Roman"/>
                <w:sz w:val="24"/>
                <w:szCs w:val="24"/>
                <w:lang w:eastAsia="fr-FR"/>
              </w:rPr>
              <w:t>Silvestre-Toussaint-Fortesa</w:t>
            </w:r>
            <w:proofErr w:type="spellEnd"/>
          </w:p>
          <w:p w14:paraId="0AA86D10" w14:textId="77777777" w:rsidR="0049694A" w:rsidRPr="0049694A" w:rsidRDefault="0049694A" w:rsidP="0049694A">
            <w:pPr>
              <w:spacing w:after="0" w:line="240" w:lineRule="auto"/>
              <w:jc w:val="both"/>
              <w:rPr>
                <w:rFonts w:ascii="Times New Roman" w:eastAsia="Times New Roman" w:hAnsi="Times New Roman" w:cs="Times New Roman"/>
                <w:sz w:val="24"/>
                <w:szCs w:val="24"/>
                <w:lang w:eastAsia="fr-FR"/>
              </w:rPr>
            </w:pPr>
          </w:p>
        </w:tc>
        <w:tc>
          <w:tcPr>
            <w:tcW w:w="3270" w:type="dxa"/>
          </w:tcPr>
          <w:p w14:paraId="7A6CAA6B" w14:textId="77777777" w:rsidR="0049694A" w:rsidRPr="0049694A" w:rsidRDefault="0049694A" w:rsidP="0049694A">
            <w:pPr>
              <w:spacing w:after="0" w:line="240" w:lineRule="auto"/>
              <w:ind w:firstLine="851"/>
              <w:jc w:val="both"/>
              <w:rPr>
                <w:rFonts w:ascii="Times New Roman" w:eastAsia="Times New Roman" w:hAnsi="Times New Roman" w:cs="Times New Roman"/>
                <w:sz w:val="24"/>
                <w:szCs w:val="24"/>
                <w:lang w:eastAsia="fr-FR"/>
              </w:rPr>
            </w:pPr>
          </w:p>
          <w:p w14:paraId="35D2C023" w14:textId="77777777" w:rsidR="0049694A" w:rsidRPr="0049694A" w:rsidRDefault="0049694A" w:rsidP="0049694A">
            <w:pPr>
              <w:spacing w:after="0" w:line="240" w:lineRule="auto"/>
              <w:ind w:firstLine="851"/>
              <w:jc w:val="center"/>
              <w:rPr>
                <w:rFonts w:ascii="Times New Roman" w:eastAsia="Times New Roman" w:hAnsi="Times New Roman" w:cs="Times New Roman"/>
                <w:sz w:val="24"/>
                <w:szCs w:val="24"/>
                <w:lang w:eastAsia="fr-FR"/>
              </w:rPr>
            </w:pPr>
          </w:p>
        </w:tc>
        <w:tc>
          <w:tcPr>
            <w:tcW w:w="3553" w:type="dxa"/>
          </w:tcPr>
          <w:p w14:paraId="7121BC87" w14:textId="77777777" w:rsidR="0049694A" w:rsidRPr="0049694A" w:rsidRDefault="0049694A" w:rsidP="0049694A">
            <w:pPr>
              <w:spacing w:after="0" w:line="240" w:lineRule="auto"/>
              <w:rPr>
                <w:rFonts w:ascii="Times New Roman" w:eastAsia="Times New Roman" w:hAnsi="Times New Roman" w:cs="Times New Roman"/>
                <w:sz w:val="24"/>
                <w:szCs w:val="24"/>
                <w:lang w:eastAsia="fr-FR"/>
              </w:rPr>
            </w:pPr>
          </w:p>
          <w:p w14:paraId="364A81A0" w14:textId="77777777" w:rsidR="0049694A" w:rsidRPr="0049694A" w:rsidRDefault="0049694A" w:rsidP="0049694A">
            <w:pPr>
              <w:spacing w:after="0" w:line="240" w:lineRule="auto"/>
              <w:rPr>
                <w:rFonts w:ascii="Times New Roman" w:eastAsia="Times New Roman" w:hAnsi="Times New Roman" w:cs="Times New Roman"/>
                <w:sz w:val="24"/>
                <w:szCs w:val="24"/>
                <w:lang w:eastAsia="fr-FR"/>
              </w:rPr>
            </w:pPr>
            <w:r w:rsidRPr="0049694A">
              <w:rPr>
                <w:rFonts w:ascii="Times New Roman" w:eastAsia="Times New Roman" w:hAnsi="Times New Roman" w:cs="Times New Roman"/>
                <w:sz w:val="24"/>
                <w:szCs w:val="24"/>
                <w:lang w:eastAsia="fr-FR"/>
              </w:rPr>
              <w:t>L’assesseure la plus ancienne,</w:t>
            </w:r>
          </w:p>
          <w:p w14:paraId="50923A8A" w14:textId="1594D96B" w:rsidR="0049694A" w:rsidRPr="0049694A" w:rsidRDefault="0049694A" w:rsidP="009E24C9">
            <w:pPr>
              <w:tabs>
                <w:tab w:val="left" w:pos="1486"/>
              </w:tabs>
              <w:spacing w:after="0" w:line="240" w:lineRule="auto"/>
              <w:rPr>
                <w:rFonts w:ascii="Times New Roman" w:eastAsia="Times New Roman" w:hAnsi="Times New Roman" w:cs="Times New Roman"/>
                <w:sz w:val="24"/>
                <w:szCs w:val="24"/>
                <w:lang w:eastAsia="fr-FR"/>
              </w:rPr>
            </w:pPr>
          </w:p>
          <w:p w14:paraId="14DC98A0" w14:textId="77777777" w:rsidR="0049694A" w:rsidRPr="0049694A" w:rsidRDefault="0049694A" w:rsidP="0049694A">
            <w:pPr>
              <w:tabs>
                <w:tab w:val="left" w:pos="1486"/>
              </w:tabs>
              <w:spacing w:after="0" w:line="240" w:lineRule="auto"/>
              <w:ind w:firstLine="851"/>
              <w:rPr>
                <w:rFonts w:ascii="Times New Roman" w:eastAsia="Times New Roman" w:hAnsi="Times New Roman" w:cs="Times New Roman"/>
                <w:sz w:val="24"/>
                <w:szCs w:val="24"/>
                <w:lang w:eastAsia="fr-FR"/>
              </w:rPr>
            </w:pPr>
          </w:p>
          <w:p w14:paraId="6DD7F974" w14:textId="088F024A" w:rsidR="0049694A" w:rsidRPr="0049694A" w:rsidRDefault="00382111" w:rsidP="00382111">
            <w:pPr>
              <w:tabs>
                <w:tab w:val="left" w:pos="1486"/>
              </w:tabs>
              <w:spacing w:after="0" w:line="240" w:lineRule="auto"/>
              <w:jc w:val="center"/>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signé</w:t>
            </w:r>
            <w:proofErr w:type="gramEnd"/>
          </w:p>
          <w:p w14:paraId="1189D459" w14:textId="77777777" w:rsidR="0049694A" w:rsidRPr="0049694A" w:rsidRDefault="0049694A" w:rsidP="0049694A">
            <w:pPr>
              <w:tabs>
                <w:tab w:val="center" w:pos="1417"/>
                <w:tab w:val="center" w:pos="4534"/>
                <w:tab w:val="center" w:pos="7200"/>
              </w:tabs>
              <w:spacing w:after="0" w:line="240" w:lineRule="auto"/>
              <w:ind w:firstLine="234"/>
              <w:rPr>
                <w:rFonts w:ascii="Times New Roman" w:eastAsia="Times New Roman" w:hAnsi="Times New Roman" w:cs="Times New Roman"/>
                <w:sz w:val="24"/>
                <w:szCs w:val="24"/>
                <w:lang w:eastAsia="fr-FR"/>
              </w:rPr>
            </w:pPr>
            <w:r w:rsidRPr="0049694A">
              <w:rPr>
                <w:rFonts w:ascii="Times New Roman" w:eastAsia="Times New Roman" w:hAnsi="Times New Roman" w:cs="Times New Roman"/>
                <w:sz w:val="24"/>
                <w:szCs w:val="24"/>
                <w:lang w:eastAsia="fr-FR"/>
              </w:rPr>
              <w:t xml:space="preserve">        S. </w:t>
            </w:r>
            <w:proofErr w:type="spellStart"/>
            <w:r w:rsidRPr="0049694A">
              <w:rPr>
                <w:rFonts w:ascii="Times New Roman" w:eastAsia="Times New Roman" w:hAnsi="Times New Roman" w:cs="Times New Roman"/>
                <w:sz w:val="24"/>
                <w:szCs w:val="24"/>
                <w:lang w:eastAsia="fr-FR"/>
              </w:rPr>
              <w:t>Cueilleron</w:t>
            </w:r>
            <w:proofErr w:type="spellEnd"/>
          </w:p>
        </w:tc>
      </w:tr>
    </w:tbl>
    <w:p w14:paraId="06B4ED37" w14:textId="77777777" w:rsidR="0049694A" w:rsidRPr="0049694A" w:rsidRDefault="0049694A" w:rsidP="0049694A">
      <w:pPr>
        <w:tabs>
          <w:tab w:val="center" w:pos="1417"/>
          <w:tab w:val="center" w:pos="4534"/>
          <w:tab w:val="center" w:pos="7200"/>
        </w:tabs>
        <w:spacing w:after="0" w:line="240" w:lineRule="auto"/>
        <w:rPr>
          <w:rFonts w:ascii="Times New Roman" w:eastAsia="Times New Roman" w:hAnsi="Times New Roman" w:cs="Times New Roman"/>
          <w:sz w:val="24"/>
          <w:szCs w:val="24"/>
          <w:lang w:eastAsia="fr-FR"/>
        </w:rPr>
      </w:pPr>
    </w:p>
    <w:p w14:paraId="65FD123F" w14:textId="77777777" w:rsidR="0049694A" w:rsidRPr="0049694A" w:rsidRDefault="0049694A" w:rsidP="0049694A">
      <w:pPr>
        <w:tabs>
          <w:tab w:val="center" w:pos="1417"/>
          <w:tab w:val="center" w:pos="4534"/>
          <w:tab w:val="center" w:pos="7200"/>
        </w:tabs>
        <w:spacing w:after="0" w:line="240" w:lineRule="auto"/>
        <w:jc w:val="center"/>
        <w:rPr>
          <w:rFonts w:ascii="Times New Roman" w:eastAsia="Times New Roman" w:hAnsi="Times New Roman" w:cs="Times New Roman"/>
          <w:sz w:val="24"/>
          <w:szCs w:val="24"/>
          <w:lang w:eastAsia="fr-FR"/>
        </w:rPr>
      </w:pPr>
      <w:r w:rsidRPr="0049694A">
        <w:rPr>
          <w:rFonts w:ascii="Times New Roman" w:eastAsia="Times New Roman" w:hAnsi="Times New Roman" w:cs="Times New Roman"/>
          <w:sz w:val="24"/>
          <w:szCs w:val="24"/>
          <w:lang w:eastAsia="fr-FR"/>
        </w:rPr>
        <w:t>La greffière,</w:t>
      </w:r>
    </w:p>
    <w:p w14:paraId="38B1EEBA" w14:textId="77777777" w:rsidR="0049694A" w:rsidRPr="0049694A" w:rsidRDefault="0049694A" w:rsidP="0049694A">
      <w:pPr>
        <w:tabs>
          <w:tab w:val="center" w:pos="1417"/>
          <w:tab w:val="center" w:pos="4534"/>
          <w:tab w:val="center" w:pos="7200"/>
        </w:tabs>
        <w:spacing w:after="0" w:line="240" w:lineRule="auto"/>
        <w:rPr>
          <w:rFonts w:ascii="Times New Roman" w:eastAsia="Times New Roman" w:hAnsi="Times New Roman" w:cs="Times New Roman"/>
          <w:sz w:val="24"/>
          <w:szCs w:val="24"/>
          <w:lang w:eastAsia="fr-FR"/>
        </w:rPr>
      </w:pPr>
    </w:p>
    <w:p w14:paraId="1D20285E" w14:textId="77777777" w:rsidR="0049694A" w:rsidRPr="0049694A" w:rsidRDefault="0049694A" w:rsidP="0049694A">
      <w:pPr>
        <w:tabs>
          <w:tab w:val="center" w:pos="1417"/>
          <w:tab w:val="center" w:pos="4534"/>
          <w:tab w:val="center" w:pos="7200"/>
        </w:tabs>
        <w:spacing w:after="0" w:line="240" w:lineRule="auto"/>
        <w:rPr>
          <w:rFonts w:ascii="Times New Roman" w:eastAsia="Times New Roman" w:hAnsi="Times New Roman" w:cs="Times New Roman"/>
          <w:sz w:val="24"/>
          <w:szCs w:val="24"/>
          <w:lang w:eastAsia="fr-FR"/>
        </w:rPr>
      </w:pPr>
    </w:p>
    <w:p w14:paraId="65966997" w14:textId="0C328238" w:rsidR="0049694A" w:rsidRPr="0049694A" w:rsidRDefault="00382111" w:rsidP="00382111">
      <w:pPr>
        <w:tabs>
          <w:tab w:val="center" w:pos="1417"/>
          <w:tab w:val="center" w:pos="4534"/>
          <w:tab w:val="center" w:pos="7200"/>
        </w:tabs>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signé</w:t>
      </w:r>
    </w:p>
    <w:p w14:paraId="565DBDAA" w14:textId="77777777" w:rsidR="0049694A" w:rsidRPr="0049694A" w:rsidRDefault="0049694A" w:rsidP="0049694A">
      <w:pPr>
        <w:tabs>
          <w:tab w:val="center" w:pos="1417"/>
          <w:tab w:val="center" w:pos="4534"/>
          <w:tab w:val="center" w:pos="7200"/>
        </w:tabs>
        <w:spacing w:after="0" w:line="240" w:lineRule="auto"/>
        <w:jc w:val="center"/>
        <w:rPr>
          <w:rFonts w:ascii="Times New Roman" w:eastAsia="Times New Roman" w:hAnsi="Times New Roman" w:cs="Times New Roman"/>
          <w:sz w:val="24"/>
          <w:szCs w:val="24"/>
          <w:lang w:eastAsia="fr-FR"/>
        </w:rPr>
      </w:pPr>
      <w:r w:rsidRPr="0049694A">
        <w:rPr>
          <w:rFonts w:ascii="Times New Roman" w:eastAsia="Times New Roman" w:hAnsi="Times New Roman" w:cs="Times New Roman"/>
          <w:sz w:val="24"/>
          <w:szCs w:val="24"/>
          <w:lang w:eastAsia="fr-FR"/>
        </w:rPr>
        <w:t xml:space="preserve">M. </w:t>
      </w:r>
      <w:proofErr w:type="spellStart"/>
      <w:r w:rsidRPr="0049694A">
        <w:rPr>
          <w:rFonts w:ascii="Times New Roman" w:eastAsia="Times New Roman" w:hAnsi="Times New Roman" w:cs="Times New Roman"/>
          <w:sz w:val="24"/>
          <w:szCs w:val="24"/>
          <w:lang w:eastAsia="fr-FR"/>
        </w:rPr>
        <w:t>Pagnotta</w:t>
      </w:r>
      <w:proofErr w:type="spellEnd"/>
      <w:r w:rsidRPr="0049694A">
        <w:rPr>
          <w:rFonts w:ascii="Times New Roman" w:eastAsia="Times New Roman" w:hAnsi="Times New Roman" w:cs="Times New Roman"/>
          <w:sz w:val="24"/>
          <w:szCs w:val="24"/>
          <w:lang w:eastAsia="fr-FR"/>
        </w:rPr>
        <w:t xml:space="preserve"> </w:t>
      </w:r>
    </w:p>
    <w:p w14:paraId="65420D9B" w14:textId="77777777" w:rsidR="0049694A" w:rsidRPr="0049694A" w:rsidRDefault="0049694A" w:rsidP="0049694A">
      <w:pPr>
        <w:spacing w:after="0" w:line="240" w:lineRule="auto"/>
        <w:jc w:val="both"/>
        <w:rPr>
          <w:rFonts w:ascii="Times New Roman" w:eastAsia="Times New Roman" w:hAnsi="Times New Roman" w:cs="Times New Roman"/>
          <w:sz w:val="24"/>
          <w:szCs w:val="24"/>
          <w:lang w:eastAsia="fr-FR"/>
        </w:rPr>
      </w:pPr>
    </w:p>
    <w:p w14:paraId="3210CDE6" w14:textId="77777777" w:rsidR="0049694A" w:rsidRPr="0049694A" w:rsidRDefault="0049694A" w:rsidP="0049694A">
      <w:pPr>
        <w:spacing w:after="0" w:line="240" w:lineRule="auto"/>
        <w:jc w:val="both"/>
        <w:rPr>
          <w:rFonts w:ascii="Times New Roman" w:eastAsia="Times New Roman" w:hAnsi="Times New Roman" w:cs="Times New Roman"/>
          <w:sz w:val="24"/>
          <w:szCs w:val="24"/>
          <w:lang w:eastAsia="fr-FR"/>
        </w:rPr>
      </w:pPr>
      <w:r w:rsidRPr="0049694A">
        <w:rPr>
          <w:rFonts w:ascii="Times New Roman" w:eastAsia="Times New Roman" w:hAnsi="Times New Roman" w:cs="Times New Roman"/>
          <w:sz w:val="24"/>
          <w:szCs w:val="24"/>
          <w:lang w:eastAsia="fr-FR"/>
        </w:rPr>
        <w:t>La République mande et ordonne à la ministre de la transition écologique, de la biodiversité, de la forêt, de la mer et de la pêche en ce qui la concerne ou à tous commissaires de justice à ce requis en ce qui concerne les voies de droit commun contre les parties privées, de pourvoir à l’exécution de la présente décision.</w:t>
      </w:r>
    </w:p>
    <w:p w14:paraId="49B7BB2F" w14:textId="77777777" w:rsidR="0049694A" w:rsidRPr="0049694A" w:rsidRDefault="0049694A" w:rsidP="0049694A">
      <w:pPr>
        <w:spacing w:after="0" w:line="240" w:lineRule="auto"/>
        <w:ind w:firstLine="851"/>
        <w:jc w:val="both"/>
        <w:rPr>
          <w:rFonts w:ascii="Times New Roman" w:eastAsia="Times New Roman" w:hAnsi="Times New Roman" w:cs="Times New Roman"/>
          <w:sz w:val="24"/>
          <w:szCs w:val="24"/>
          <w:lang w:eastAsia="fr-FR"/>
        </w:rPr>
      </w:pPr>
    </w:p>
    <w:p w14:paraId="2894D09E" w14:textId="77777777" w:rsidR="0049694A" w:rsidRPr="0049694A" w:rsidRDefault="0049694A" w:rsidP="00E436D7">
      <w:pPr>
        <w:spacing w:after="0" w:line="240" w:lineRule="auto"/>
        <w:jc w:val="center"/>
        <w:rPr>
          <w:rFonts w:ascii="Times New Roman" w:eastAsia="Times New Roman" w:hAnsi="Times New Roman" w:cs="Times New Roman"/>
          <w:sz w:val="24"/>
          <w:szCs w:val="24"/>
          <w:lang w:eastAsia="fr-FR"/>
        </w:rPr>
      </w:pPr>
      <w:r w:rsidRPr="0049694A">
        <w:rPr>
          <w:rFonts w:ascii="Times New Roman" w:eastAsia="Times New Roman" w:hAnsi="Times New Roman" w:cs="Times New Roman"/>
          <w:sz w:val="24"/>
          <w:szCs w:val="24"/>
          <w:lang w:eastAsia="fr-FR"/>
        </w:rPr>
        <w:t>Pour expédition conforme,</w:t>
      </w:r>
    </w:p>
    <w:p w14:paraId="70140F5E" w14:textId="77777777" w:rsidR="0049694A" w:rsidRPr="0049694A" w:rsidRDefault="0049694A" w:rsidP="00E436D7">
      <w:pPr>
        <w:spacing w:after="0" w:line="240" w:lineRule="auto"/>
        <w:jc w:val="center"/>
        <w:rPr>
          <w:rFonts w:ascii="Times New Roman" w:eastAsia="Times New Roman" w:hAnsi="Times New Roman" w:cs="Times New Roman"/>
          <w:sz w:val="24"/>
          <w:szCs w:val="24"/>
          <w:lang w:eastAsia="fr-FR"/>
        </w:rPr>
      </w:pPr>
      <w:r w:rsidRPr="0049694A">
        <w:rPr>
          <w:rFonts w:ascii="Times New Roman" w:eastAsia="Times New Roman" w:hAnsi="Times New Roman" w:cs="Times New Roman"/>
          <w:sz w:val="24"/>
          <w:szCs w:val="24"/>
          <w:lang w:eastAsia="fr-FR"/>
        </w:rPr>
        <w:t>Le greffier en chef,</w:t>
      </w:r>
    </w:p>
    <w:p w14:paraId="4C9E7E69" w14:textId="77777777" w:rsidR="0049694A" w:rsidRPr="0049694A" w:rsidRDefault="0049694A" w:rsidP="00E436D7">
      <w:pPr>
        <w:spacing w:after="0" w:line="240" w:lineRule="auto"/>
        <w:jc w:val="center"/>
        <w:rPr>
          <w:rFonts w:ascii="Times New Roman" w:eastAsia="Times New Roman" w:hAnsi="Times New Roman" w:cs="Times New Roman"/>
          <w:sz w:val="24"/>
          <w:szCs w:val="24"/>
          <w:lang w:eastAsia="fr-FR"/>
        </w:rPr>
      </w:pPr>
      <w:r w:rsidRPr="0049694A">
        <w:rPr>
          <w:rFonts w:ascii="Times New Roman" w:eastAsia="Times New Roman" w:hAnsi="Times New Roman" w:cs="Times New Roman"/>
          <w:sz w:val="24"/>
          <w:szCs w:val="24"/>
          <w:lang w:eastAsia="fr-FR"/>
        </w:rPr>
        <w:t>Ou, par délégation, la greffière</w:t>
      </w:r>
    </w:p>
    <w:p w14:paraId="77646652" w14:textId="77777777" w:rsidR="0049694A" w:rsidRPr="0049694A" w:rsidRDefault="0049694A" w:rsidP="0049694A">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61B6525F" w14:textId="77777777" w:rsidR="0049694A" w:rsidRPr="0049694A" w:rsidRDefault="0049694A" w:rsidP="0049694A">
      <w:pPr>
        <w:spacing w:after="0" w:line="240" w:lineRule="auto"/>
        <w:ind w:firstLine="851"/>
        <w:jc w:val="both"/>
        <w:rPr>
          <w:rFonts w:ascii="Times New Roman" w:eastAsia="Times New Roman" w:hAnsi="Times New Roman" w:cs="Times New Roman"/>
          <w:color w:val="000000" w:themeColor="text1"/>
          <w:sz w:val="24"/>
          <w:szCs w:val="24"/>
          <w:lang w:eastAsia="fr-FR"/>
        </w:rPr>
      </w:pPr>
    </w:p>
    <w:p w14:paraId="2A82E6A5" w14:textId="77777777" w:rsidR="0049694A" w:rsidRPr="0049694A" w:rsidRDefault="0049694A" w:rsidP="0049694A">
      <w:pPr>
        <w:spacing w:after="0" w:line="240" w:lineRule="auto"/>
        <w:jc w:val="both"/>
        <w:rPr>
          <w:rFonts w:ascii="Times New Roman" w:eastAsia="Times New Roman" w:hAnsi="Times New Roman" w:cs="Times New Roman"/>
          <w:color w:val="000000" w:themeColor="text1"/>
          <w:sz w:val="24"/>
          <w:szCs w:val="24"/>
          <w:lang w:eastAsia="fr-FR"/>
        </w:rPr>
      </w:pPr>
    </w:p>
    <w:p w14:paraId="7AD72380" w14:textId="77777777" w:rsidR="0049694A" w:rsidRPr="0049694A" w:rsidRDefault="0049694A" w:rsidP="0049694A">
      <w:pPr>
        <w:spacing w:line="254" w:lineRule="auto"/>
        <w:rPr>
          <w:rFonts w:ascii="Calibri" w:eastAsia="Calibri" w:hAnsi="Calibri" w:cs="Times New Roman"/>
        </w:rPr>
      </w:pPr>
    </w:p>
    <w:p w14:paraId="2A79E45B" w14:textId="77777777" w:rsidR="0049694A" w:rsidRPr="0049694A" w:rsidRDefault="0049694A" w:rsidP="0049694A">
      <w:pPr>
        <w:spacing w:line="254" w:lineRule="auto"/>
        <w:rPr>
          <w:rFonts w:ascii="Calibri" w:eastAsia="Calibri" w:hAnsi="Calibri" w:cs="Times New Roman"/>
        </w:rPr>
      </w:pPr>
    </w:p>
    <w:p w14:paraId="213A3E78" w14:textId="77777777" w:rsidR="0049694A" w:rsidRDefault="0049694A"/>
    <w:sectPr w:rsidR="0049694A" w:rsidSect="0049694A">
      <w:headerReference w:type="defaul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B3A9B" w14:textId="77777777" w:rsidR="0079744D" w:rsidRDefault="0079744D" w:rsidP="0049694A">
      <w:pPr>
        <w:spacing w:after="0" w:line="240" w:lineRule="auto"/>
      </w:pPr>
      <w:r>
        <w:separator/>
      </w:r>
    </w:p>
  </w:endnote>
  <w:endnote w:type="continuationSeparator" w:id="0">
    <w:p w14:paraId="1A64029F" w14:textId="77777777" w:rsidR="0079744D" w:rsidRDefault="0079744D" w:rsidP="00496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CCBFD" w14:textId="77777777" w:rsidR="0079744D" w:rsidRDefault="0079744D" w:rsidP="0049694A">
      <w:pPr>
        <w:spacing w:after="0" w:line="240" w:lineRule="auto"/>
      </w:pPr>
      <w:r>
        <w:separator/>
      </w:r>
    </w:p>
  </w:footnote>
  <w:footnote w:type="continuationSeparator" w:id="0">
    <w:p w14:paraId="3C5F2C78" w14:textId="77777777" w:rsidR="0079744D" w:rsidRDefault="0079744D" w:rsidP="00496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C0A73" w14:textId="07273F0A" w:rsidR="00604E5B" w:rsidRPr="0049694A" w:rsidRDefault="00604E5B" w:rsidP="0049694A">
    <w:pPr>
      <w:pStyle w:val="En-tte"/>
      <w:rPr>
        <w:rFonts w:ascii="Times New Roman" w:hAnsi="Times New Roman" w:cs="Times New Roman"/>
        <w:sz w:val="24"/>
        <w:szCs w:val="24"/>
      </w:rPr>
    </w:pPr>
    <w:r w:rsidRPr="0049694A">
      <w:rPr>
        <w:rFonts w:ascii="Times New Roman" w:hAnsi="Times New Roman" w:cs="Times New Roman"/>
        <w:sz w:val="24"/>
        <w:szCs w:val="24"/>
      </w:rPr>
      <w:t xml:space="preserve">N°2402302 </w:t>
    </w:r>
    <w:r>
      <w:rPr>
        <w:rFonts w:ascii="Times New Roman" w:hAnsi="Times New Roman" w:cs="Times New Roman"/>
        <w:sz w:val="24"/>
        <w:szCs w:val="24"/>
      </w:rPr>
      <w:t xml:space="preserve">                                                                                                                               </w:t>
    </w:r>
    <w:sdt>
      <w:sdtPr>
        <w:rPr>
          <w:rFonts w:ascii="Times New Roman" w:hAnsi="Times New Roman" w:cs="Times New Roman"/>
          <w:sz w:val="24"/>
          <w:szCs w:val="24"/>
        </w:rPr>
        <w:id w:val="1035459858"/>
        <w:docPartObj>
          <w:docPartGallery w:val="Page Numbers (Top of Page)"/>
          <w:docPartUnique/>
        </w:docPartObj>
      </w:sdtPr>
      <w:sdtEndPr/>
      <w:sdtContent>
        <w:r w:rsidRPr="0049694A">
          <w:rPr>
            <w:rFonts w:ascii="Times New Roman" w:hAnsi="Times New Roman" w:cs="Times New Roman"/>
            <w:sz w:val="24"/>
            <w:szCs w:val="24"/>
          </w:rPr>
          <w:fldChar w:fldCharType="begin"/>
        </w:r>
        <w:r w:rsidRPr="0049694A">
          <w:rPr>
            <w:rFonts w:ascii="Times New Roman" w:hAnsi="Times New Roman" w:cs="Times New Roman"/>
            <w:sz w:val="24"/>
            <w:szCs w:val="24"/>
          </w:rPr>
          <w:instrText>PAGE   \* MERGEFORMAT</w:instrText>
        </w:r>
        <w:r w:rsidRPr="0049694A">
          <w:rPr>
            <w:rFonts w:ascii="Times New Roman" w:hAnsi="Times New Roman" w:cs="Times New Roman"/>
            <w:sz w:val="24"/>
            <w:szCs w:val="24"/>
          </w:rPr>
          <w:fldChar w:fldCharType="separate"/>
        </w:r>
        <w:r w:rsidR="00E436D7">
          <w:rPr>
            <w:rFonts w:ascii="Times New Roman" w:hAnsi="Times New Roman" w:cs="Times New Roman"/>
            <w:noProof/>
            <w:sz w:val="24"/>
            <w:szCs w:val="24"/>
          </w:rPr>
          <w:t>23</w:t>
        </w:r>
        <w:r w:rsidRPr="0049694A">
          <w:rPr>
            <w:rFonts w:ascii="Times New Roman" w:hAnsi="Times New Roman" w:cs="Times New Roman"/>
            <w:sz w:val="24"/>
            <w:szCs w:val="24"/>
          </w:rPr>
          <w:fldChar w:fldCharType="end"/>
        </w:r>
      </w:sdtContent>
    </w:sdt>
  </w:p>
  <w:p w14:paraId="5479D24A" w14:textId="77777777" w:rsidR="00604E5B" w:rsidRDefault="00604E5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94A"/>
    <w:rsid w:val="000031F3"/>
    <w:rsid w:val="000173D7"/>
    <w:rsid w:val="000229E3"/>
    <w:rsid w:val="000348E1"/>
    <w:rsid w:val="000552C0"/>
    <w:rsid w:val="00066953"/>
    <w:rsid w:val="000822B7"/>
    <w:rsid w:val="000B3EE4"/>
    <w:rsid w:val="00131B0D"/>
    <w:rsid w:val="00150F74"/>
    <w:rsid w:val="00152594"/>
    <w:rsid w:val="00165B0F"/>
    <w:rsid w:val="001747E1"/>
    <w:rsid w:val="00182892"/>
    <w:rsid w:val="00182A70"/>
    <w:rsid w:val="001A3954"/>
    <w:rsid w:val="001D23F5"/>
    <w:rsid w:val="001E3A1D"/>
    <w:rsid w:val="001F73BE"/>
    <w:rsid w:val="00205E02"/>
    <w:rsid w:val="00206616"/>
    <w:rsid w:val="00206E72"/>
    <w:rsid w:val="002146EF"/>
    <w:rsid w:val="00215C0B"/>
    <w:rsid w:val="00220D89"/>
    <w:rsid w:val="00233FE8"/>
    <w:rsid w:val="002361C0"/>
    <w:rsid w:val="00244C34"/>
    <w:rsid w:val="00245B2C"/>
    <w:rsid w:val="00245E15"/>
    <w:rsid w:val="00273E52"/>
    <w:rsid w:val="00294A8A"/>
    <w:rsid w:val="002D0E5D"/>
    <w:rsid w:val="002D706F"/>
    <w:rsid w:val="003027FF"/>
    <w:rsid w:val="0030310E"/>
    <w:rsid w:val="00316678"/>
    <w:rsid w:val="003572E2"/>
    <w:rsid w:val="003740C3"/>
    <w:rsid w:val="00376DC8"/>
    <w:rsid w:val="00382111"/>
    <w:rsid w:val="003A07E1"/>
    <w:rsid w:val="003B5587"/>
    <w:rsid w:val="003B6BC3"/>
    <w:rsid w:val="003C64EB"/>
    <w:rsid w:val="003C6EF0"/>
    <w:rsid w:val="003F312E"/>
    <w:rsid w:val="003F4D49"/>
    <w:rsid w:val="003F6954"/>
    <w:rsid w:val="004056E3"/>
    <w:rsid w:val="00406111"/>
    <w:rsid w:val="004078C7"/>
    <w:rsid w:val="00410782"/>
    <w:rsid w:val="004330CD"/>
    <w:rsid w:val="00433514"/>
    <w:rsid w:val="00435677"/>
    <w:rsid w:val="004370E9"/>
    <w:rsid w:val="004449DF"/>
    <w:rsid w:val="00455F2D"/>
    <w:rsid w:val="004563B9"/>
    <w:rsid w:val="0048611B"/>
    <w:rsid w:val="00492700"/>
    <w:rsid w:val="0049436F"/>
    <w:rsid w:val="0049694A"/>
    <w:rsid w:val="004A2B8D"/>
    <w:rsid w:val="004B41C2"/>
    <w:rsid w:val="004B67E5"/>
    <w:rsid w:val="004E434E"/>
    <w:rsid w:val="0051149B"/>
    <w:rsid w:val="00521AC2"/>
    <w:rsid w:val="00547FAD"/>
    <w:rsid w:val="0057146E"/>
    <w:rsid w:val="00583686"/>
    <w:rsid w:val="00594A36"/>
    <w:rsid w:val="005A3A90"/>
    <w:rsid w:val="005C0D0C"/>
    <w:rsid w:val="005E4C17"/>
    <w:rsid w:val="00604E5B"/>
    <w:rsid w:val="00625607"/>
    <w:rsid w:val="0063770C"/>
    <w:rsid w:val="0065077E"/>
    <w:rsid w:val="00656946"/>
    <w:rsid w:val="006662A1"/>
    <w:rsid w:val="0067333E"/>
    <w:rsid w:val="00675E0B"/>
    <w:rsid w:val="006853F4"/>
    <w:rsid w:val="006910FC"/>
    <w:rsid w:val="00696ED8"/>
    <w:rsid w:val="006A51E9"/>
    <w:rsid w:val="006D74F4"/>
    <w:rsid w:val="00706501"/>
    <w:rsid w:val="007111F8"/>
    <w:rsid w:val="007400DF"/>
    <w:rsid w:val="007610A7"/>
    <w:rsid w:val="00762239"/>
    <w:rsid w:val="0076503C"/>
    <w:rsid w:val="00774DBD"/>
    <w:rsid w:val="00775E12"/>
    <w:rsid w:val="007766B2"/>
    <w:rsid w:val="007775E4"/>
    <w:rsid w:val="00777631"/>
    <w:rsid w:val="007861FB"/>
    <w:rsid w:val="00792285"/>
    <w:rsid w:val="00792BD7"/>
    <w:rsid w:val="00793F7F"/>
    <w:rsid w:val="0079744D"/>
    <w:rsid w:val="007F5364"/>
    <w:rsid w:val="008165AD"/>
    <w:rsid w:val="00827225"/>
    <w:rsid w:val="00865907"/>
    <w:rsid w:val="00866821"/>
    <w:rsid w:val="00866B2A"/>
    <w:rsid w:val="00890C15"/>
    <w:rsid w:val="00892B52"/>
    <w:rsid w:val="00894C1E"/>
    <w:rsid w:val="008A2170"/>
    <w:rsid w:val="008A5BFF"/>
    <w:rsid w:val="008B0B9C"/>
    <w:rsid w:val="008C62A0"/>
    <w:rsid w:val="008D304C"/>
    <w:rsid w:val="008D6929"/>
    <w:rsid w:val="008F1478"/>
    <w:rsid w:val="00900686"/>
    <w:rsid w:val="009259A0"/>
    <w:rsid w:val="00925FD2"/>
    <w:rsid w:val="00932694"/>
    <w:rsid w:val="00954B96"/>
    <w:rsid w:val="009775FF"/>
    <w:rsid w:val="009830C9"/>
    <w:rsid w:val="00984926"/>
    <w:rsid w:val="0098534A"/>
    <w:rsid w:val="009A41F1"/>
    <w:rsid w:val="009C01E7"/>
    <w:rsid w:val="009D2B94"/>
    <w:rsid w:val="009E24C9"/>
    <w:rsid w:val="009E31B5"/>
    <w:rsid w:val="009E5F6D"/>
    <w:rsid w:val="009E7ADF"/>
    <w:rsid w:val="00A037E8"/>
    <w:rsid w:val="00A1462A"/>
    <w:rsid w:val="00A2382A"/>
    <w:rsid w:val="00A27343"/>
    <w:rsid w:val="00A3640A"/>
    <w:rsid w:val="00A46E7B"/>
    <w:rsid w:val="00A87F04"/>
    <w:rsid w:val="00AB6D1E"/>
    <w:rsid w:val="00B0073E"/>
    <w:rsid w:val="00B14D35"/>
    <w:rsid w:val="00B160AC"/>
    <w:rsid w:val="00B17D7E"/>
    <w:rsid w:val="00B224C6"/>
    <w:rsid w:val="00B22D44"/>
    <w:rsid w:val="00B41327"/>
    <w:rsid w:val="00B84611"/>
    <w:rsid w:val="00B906F6"/>
    <w:rsid w:val="00BA77F7"/>
    <w:rsid w:val="00BB191F"/>
    <w:rsid w:val="00BC094F"/>
    <w:rsid w:val="00BC125D"/>
    <w:rsid w:val="00BC3477"/>
    <w:rsid w:val="00BC4B7D"/>
    <w:rsid w:val="00BD0028"/>
    <w:rsid w:val="00BF3521"/>
    <w:rsid w:val="00C02F44"/>
    <w:rsid w:val="00C065B3"/>
    <w:rsid w:val="00C10827"/>
    <w:rsid w:val="00C17959"/>
    <w:rsid w:val="00C355DF"/>
    <w:rsid w:val="00C37F0F"/>
    <w:rsid w:val="00C426A4"/>
    <w:rsid w:val="00C55766"/>
    <w:rsid w:val="00C60E80"/>
    <w:rsid w:val="00C725D4"/>
    <w:rsid w:val="00C80B32"/>
    <w:rsid w:val="00C86E67"/>
    <w:rsid w:val="00CB3668"/>
    <w:rsid w:val="00CB5369"/>
    <w:rsid w:val="00CC5445"/>
    <w:rsid w:val="00CD32EB"/>
    <w:rsid w:val="00CD5C84"/>
    <w:rsid w:val="00CD7F2C"/>
    <w:rsid w:val="00CE5526"/>
    <w:rsid w:val="00CE5594"/>
    <w:rsid w:val="00CF1097"/>
    <w:rsid w:val="00CF271D"/>
    <w:rsid w:val="00D01448"/>
    <w:rsid w:val="00D104CC"/>
    <w:rsid w:val="00D164F3"/>
    <w:rsid w:val="00D2354A"/>
    <w:rsid w:val="00D2487E"/>
    <w:rsid w:val="00D3538D"/>
    <w:rsid w:val="00D56E8A"/>
    <w:rsid w:val="00D659FB"/>
    <w:rsid w:val="00D84905"/>
    <w:rsid w:val="00D95AAA"/>
    <w:rsid w:val="00DC5B7A"/>
    <w:rsid w:val="00DE52EB"/>
    <w:rsid w:val="00E03634"/>
    <w:rsid w:val="00E156C9"/>
    <w:rsid w:val="00E203B7"/>
    <w:rsid w:val="00E36FBC"/>
    <w:rsid w:val="00E41E3A"/>
    <w:rsid w:val="00E436D7"/>
    <w:rsid w:val="00E44B88"/>
    <w:rsid w:val="00E47ABB"/>
    <w:rsid w:val="00E9271C"/>
    <w:rsid w:val="00EA516F"/>
    <w:rsid w:val="00EA7C37"/>
    <w:rsid w:val="00EF005B"/>
    <w:rsid w:val="00F2170F"/>
    <w:rsid w:val="00F30D77"/>
    <w:rsid w:val="00F5284B"/>
    <w:rsid w:val="00F6086C"/>
    <w:rsid w:val="00F74E6F"/>
    <w:rsid w:val="00F85B5B"/>
    <w:rsid w:val="00FA0F3D"/>
    <w:rsid w:val="00FA72C3"/>
    <w:rsid w:val="00FB4FFD"/>
    <w:rsid w:val="00FC6947"/>
    <w:rsid w:val="00FE235D"/>
    <w:rsid w:val="00FF2B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BE5E8"/>
  <w15:chartTrackingRefBased/>
  <w15:docId w15:val="{DA809572-F6B5-4A73-9B6C-29AAE496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semiHidden/>
    <w:unhideWhenUsed/>
    <w:rsid w:val="0049694A"/>
    <w:pPr>
      <w:spacing w:line="240" w:lineRule="auto"/>
    </w:pPr>
    <w:rPr>
      <w:rFonts w:ascii="Calibri" w:eastAsia="Calibri" w:hAnsi="Calibri" w:cs="Times New Roman"/>
      <w:sz w:val="20"/>
      <w:szCs w:val="20"/>
    </w:rPr>
  </w:style>
  <w:style w:type="character" w:customStyle="1" w:styleId="CommentaireCar">
    <w:name w:val="Commentaire Car"/>
    <w:basedOn w:val="Policepardfaut"/>
    <w:link w:val="Commentaire"/>
    <w:uiPriority w:val="99"/>
    <w:semiHidden/>
    <w:rsid w:val="0049694A"/>
    <w:rPr>
      <w:rFonts w:ascii="Calibri" w:eastAsia="Calibri" w:hAnsi="Calibri" w:cs="Times New Roman"/>
      <w:sz w:val="20"/>
      <w:szCs w:val="20"/>
    </w:rPr>
  </w:style>
  <w:style w:type="character" w:styleId="Marquedecommentaire">
    <w:name w:val="annotation reference"/>
    <w:basedOn w:val="Policepardfaut"/>
    <w:uiPriority w:val="99"/>
    <w:semiHidden/>
    <w:unhideWhenUsed/>
    <w:rsid w:val="0049694A"/>
    <w:rPr>
      <w:sz w:val="16"/>
      <w:szCs w:val="16"/>
    </w:rPr>
  </w:style>
  <w:style w:type="character" w:customStyle="1" w:styleId="matchlocations">
    <w:name w:val="matchlocations"/>
    <w:basedOn w:val="Policepardfaut"/>
    <w:rsid w:val="0049694A"/>
  </w:style>
  <w:style w:type="paragraph" w:styleId="Textedebulles">
    <w:name w:val="Balloon Text"/>
    <w:basedOn w:val="Normal"/>
    <w:link w:val="TextedebullesCar"/>
    <w:uiPriority w:val="99"/>
    <w:semiHidden/>
    <w:unhideWhenUsed/>
    <w:rsid w:val="004969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9694A"/>
    <w:rPr>
      <w:rFonts w:ascii="Segoe UI" w:hAnsi="Segoe UI" w:cs="Segoe UI"/>
      <w:sz w:val="18"/>
      <w:szCs w:val="18"/>
    </w:rPr>
  </w:style>
  <w:style w:type="paragraph" w:styleId="En-tte">
    <w:name w:val="header"/>
    <w:basedOn w:val="Normal"/>
    <w:link w:val="En-tteCar"/>
    <w:uiPriority w:val="99"/>
    <w:unhideWhenUsed/>
    <w:rsid w:val="0049694A"/>
    <w:pPr>
      <w:tabs>
        <w:tab w:val="center" w:pos="4536"/>
        <w:tab w:val="right" w:pos="9072"/>
      </w:tabs>
      <w:spacing w:after="0" w:line="240" w:lineRule="auto"/>
    </w:pPr>
  </w:style>
  <w:style w:type="character" w:customStyle="1" w:styleId="En-tteCar">
    <w:name w:val="En-tête Car"/>
    <w:basedOn w:val="Policepardfaut"/>
    <w:link w:val="En-tte"/>
    <w:uiPriority w:val="99"/>
    <w:rsid w:val="0049694A"/>
  </w:style>
  <w:style w:type="paragraph" w:styleId="Pieddepage">
    <w:name w:val="footer"/>
    <w:basedOn w:val="Normal"/>
    <w:link w:val="PieddepageCar"/>
    <w:uiPriority w:val="99"/>
    <w:unhideWhenUsed/>
    <w:rsid w:val="004969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694A"/>
  </w:style>
  <w:style w:type="paragraph" w:styleId="Objetducommentaire">
    <w:name w:val="annotation subject"/>
    <w:basedOn w:val="Commentaire"/>
    <w:next w:val="Commentaire"/>
    <w:link w:val="ObjetducommentaireCar"/>
    <w:uiPriority w:val="99"/>
    <w:semiHidden/>
    <w:unhideWhenUsed/>
    <w:rsid w:val="00925FD2"/>
    <w:rPr>
      <w:rFonts w:asciiTheme="minorHAnsi" w:eastAsiaTheme="minorHAnsi" w:hAnsiTheme="minorHAnsi" w:cstheme="minorBidi"/>
      <w:b/>
      <w:bCs/>
    </w:rPr>
  </w:style>
  <w:style w:type="character" w:customStyle="1" w:styleId="ObjetducommentaireCar">
    <w:name w:val="Objet du commentaire Car"/>
    <w:basedOn w:val="CommentaireCar"/>
    <w:link w:val="Objetducommentaire"/>
    <w:uiPriority w:val="99"/>
    <w:semiHidden/>
    <w:rsid w:val="00925FD2"/>
    <w:rPr>
      <w:rFonts w:ascii="Calibri" w:eastAsia="Calibri" w:hAnsi="Calibri" w:cs="Times New Roman"/>
      <w:b/>
      <w:bCs/>
      <w:sz w:val="20"/>
      <w:szCs w:val="20"/>
    </w:rPr>
  </w:style>
  <w:style w:type="character" w:customStyle="1" w:styleId="fontstyle01">
    <w:name w:val="fontstyle01"/>
    <w:basedOn w:val="Policepardfaut"/>
    <w:rsid w:val="007610A7"/>
    <w:rPr>
      <w:rFonts w:ascii="Calibri" w:hAnsi="Calibri" w:cs="Calibri" w:hint="default"/>
      <w:b w:val="0"/>
      <w:bCs w:val="0"/>
      <w:i w:val="0"/>
      <w:iCs w:val="0"/>
      <w:color w:val="000000"/>
      <w:sz w:val="18"/>
      <w:szCs w:val="18"/>
    </w:rPr>
  </w:style>
  <w:style w:type="paragraph" w:styleId="NormalWeb">
    <w:name w:val="Normal (Web)"/>
    <w:basedOn w:val="Normal"/>
    <w:uiPriority w:val="99"/>
    <w:semiHidden/>
    <w:unhideWhenUsed/>
    <w:rsid w:val="00D0144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84517">
      <w:bodyDiv w:val="1"/>
      <w:marLeft w:val="0"/>
      <w:marRight w:val="0"/>
      <w:marTop w:val="0"/>
      <w:marBottom w:val="0"/>
      <w:divBdr>
        <w:top w:val="none" w:sz="0" w:space="0" w:color="auto"/>
        <w:left w:val="none" w:sz="0" w:space="0" w:color="auto"/>
        <w:bottom w:val="none" w:sz="0" w:space="0" w:color="auto"/>
        <w:right w:val="none" w:sz="0" w:space="0" w:color="auto"/>
      </w:divBdr>
    </w:div>
    <w:div w:id="519707126">
      <w:bodyDiv w:val="1"/>
      <w:marLeft w:val="0"/>
      <w:marRight w:val="0"/>
      <w:marTop w:val="0"/>
      <w:marBottom w:val="0"/>
      <w:divBdr>
        <w:top w:val="none" w:sz="0" w:space="0" w:color="auto"/>
        <w:left w:val="none" w:sz="0" w:space="0" w:color="auto"/>
        <w:bottom w:val="none" w:sz="0" w:space="0" w:color="auto"/>
        <w:right w:val="none" w:sz="0" w:space="0" w:color="auto"/>
      </w:divBdr>
    </w:div>
    <w:div w:id="946884639">
      <w:bodyDiv w:val="1"/>
      <w:marLeft w:val="0"/>
      <w:marRight w:val="0"/>
      <w:marTop w:val="0"/>
      <w:marBottom w:val="0"/>
      <w:divBdr>
        <w:top w:val="none" w:sz="0" w:space="0" w:color="auto"/>
        <w:left w:val="none" w:sz="0" w:space="0" w:color="auto"/>
        <w:bottom w:val="none" w:sz="0" w:space="0" w:color="auto"/>
        <w:right w:val="none" w:sz="0" w:space="0" w:color="auto"/>
      </w:divBdr>
      <w:divsChild>
        <w:div w:id="1332443476">
          <w:marLeft w:val="0"/>
          <w:marRight w:val="0"/>
          <w:marTop w:val="0"/>
          <w:marBottom w:val="0"/>
          <w:divBdr>
            <w:top w:val="none" w:sz="0" w:space="0" w:color="auto"/>
            <w:left w:val="none" w:sz="0" w:space="0" w:color="auto"/>
            <w:bottom w:val="none" w:sz="0" w:space="0" w:color="auto"/>
            <w:right w:val="none" w:sz="0" w:space="0" w:color="auto"/>
          </w:divBdr>
        </w:div>
        <w:div w:id="1031421160">
          <w:marLeft w:val="0"/>
          <w:marRight w:val="0"/>
          <w:marTop w:val="0"/>
          <w:marBottom w:val="0"/>
          <w:divBdr>
            <w:top w:val="none" w:sz="0" w:space="0" w:color="auto"/>
            <w:left w:val="none" w:sz="0" w:space="0" w:color="auto"/>
            <w:bottom w:val="none" w:sz="0" w:space="0" w:color="auto"/>
            <w:right w:val="none" w:sz="0" w:space="0" w:color="auto"/>
          </w:divBdr>
        </w:div>
      </w:divsChild>
    </w:div>
    <w:div w:id="1276131174">
      <w:bodyDiv w:val="1"/>
      <w:marLeft w:val="0"/>
      <w:marRight w:val="0"/>
      <w:marTop w:val="0"/>
      <w:marBottom w:val="0"/>
      <w:divBdr>
        <w:top w:val="none" w:sz="0" w:space="0" w:color="auto"/>
        <w:left w:val="none" w:sz="0" w:space="0" w:color="auto"/>
        <w:bottom w:val="none" w:sz="0" w:space="0" w:color="auto"/>
        <w:right w:val="none" w:sz="0" w:space="0" w:color="auto"/>
      </w:divBdr>
    </w:div>
    <w:div w:id="1447193801">
      <w:bodyDiv w:val="1"/>
      <w:marLeft w:val="0"/>
      <w:marRight w:val="0"/>
      <w:marTop w:val="0"/>
      <w:marBottom w:val="0"/>
      <w:divBdr>
        <w:top w:val="none" w:sz="0" w:space="0" w:color="auto"/>
        <w:left w:val="none" w:sz="0" w:space="0" w:color="auto"/>
        <w:bottom w:val="none" w:sz="0" w:space="0" w:color="auto"/>
        <w:right w:val="none" w:sz="0" w:space="0" w:color="auto"/>
      </w:divBdr>
    </w:div>
    <w:div w:id="202782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2583</TotalTime>
  <Pages>24</Pages>
  <Words>13537</Words>
  <Characters>74455</Characters>
  <Application>Microsoft Office Word</Application>
  <DocSecurity>0</DocSecurity>
  <Lines>620</Lines>
  <Paragraphs>175</Paragraphs>
  <ScaleCrop>false</ScaleCrop>
  <HeadingPairs>
    <vt:vector size="2" baseType="variant">
      <vt:variant>
        <vt:lpstr>Titre</vt:lpstr>
      </vt:variant>
      <vt:variant>
        <vt:i4>1</vt:i4>
      </vt:variant>
    </vt:vector>
  </HeadingPairs>
  <TitlesOfParts>
    <vt:vector size="1" baseType="lpstr">
      <vt:lpstr/>
    </vt:vector>
  </TitlesOfParts>
  <Company>Conseil d'Etat</Company>
  <LinksUpToDate>false</LinksUpToDate>
  <CharactersWithSpaces>87817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HOLZER Matthieu</dc:creator>
  <cp:keywords/>
  <dc:description/>
  <cp:lastModifiedBy>PAGNOTTA Marine</cp:lastModifiedBy>
  <cp:revision>84</cp:revision>
  <cp:lastPrinted>2025-02-19T14:02:00Z</cp:lastPrinted>
  <dcterms:created xsi:type="dcterms:W3CDTF">2025-01-20T17:13:00Z</dcterms:created>
  <dcterms:modified xsi:type="dcterms:W3CDTF">2025-02-19T14:02:00Z</dcterms:modified>
</cp:coreProperties>
</file>